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theme="majorBidi"/>
          <w:b/>
          <w:bCs/>
          <w:caps w:val="0"/>
          <w:color w:val="00985F"/>
          <w:sz w:val="20"/>
          <w:szCs w:val="28"/>
          <w:lang w:val="en-US" w:eastAsia="ja-JP"/>
        </w:rPr>
        <w:id w:val="400494114"/>
        <w:docPartObj>
          <w:docPartGallery w:val="Cover Pages"/>
          <w:docPartUnique/>
        </w:docPartObj>
      </w:sdtPr>
      <w:sdtEndPr>
        <w:rPr>
          <w:noProof/>
          <w:sz w:val="32"/>
          <w:lang w:eastAsia="fr-FR"/>
        </w:rPr>
      </w:sdtEndPr>
      <w:sdtContent>
        <w:bookmarkStart w:id="0" w:name="Main_title_on_two_linEs" w:displacedByCustomXml="prev"/>
        <w:bookmarkEnd w:id="0" w:displacedByCustomXml="prev"/>
        <w:p w:rsidR="005271BF" w:rsidRPr="00F65152" w:rsidRDefault="00DC411D" w:rsidP="00E64B46">
          <w:pPr>
            <w:pStyle w:val="TitleDoc"/>
            <w:tabs>
              <w:tab w:val="left" w:pos="3119"/>
            </w:tabs>
            <w:ind w:left="0" w:right="-442"/>
            <w:rPr>
              <w:rFonts w:asciiTheme="minorHAnsi" w:hAnsiTheme="minorHAnsi"/>
            </w:rPr>
          </w:pPr>
          <w:r w:rsidRPr="00F65152">
            <w:rPr>
              <w:rFonts w:asciiTheme="minorHAnsi" w:hAnsiTheme="minorHAnsi"/>
              <w:noProof/>
              <w:lang w:val="en-US" w:eastAsia="ja-JP"/>
            </w:rPr>
            <mc:AlternateContent>
              <mc:Choice Requires="wps">
                <w:drawing>
                  <wp:anchor distT="0" distB="0" distL="114300" distR="114300" simplePos="0" relativeHeight="251657216" behindDoc="0" locked="0" layoutInCell="1" allowOverlap="1" wp14:anchorId="34F81C61" wp14:editId="2D6578AD">
                    <wp:simplePos x="0" y="0"/>
                    <wp:positionH relativeFrom="column">
                      <wp:posOffset>-177800</wp:posOffset>
                    </wp:positionH>
                    <wp:positionV relativeFrom="paragraph">
                      <wp:posOffset>121666</wp:posOffset>
                    </wp:positionV>
                    <wp:extent cx="6961505" cy="1125220"/>
                    <wp:effectExtent l="0" t="0" r="0" b="0"/>
                    <wp:wrapNone/>
                    <wp:docPr id="184" name="Rectangle 184"/>
                    <wp:cNvGraphicFramePr/>
                    <a:graphic xmlns:a="http://schemas.openxmlformats.org/drawingml/2006/main">
                      <a:graphicData uri="http://schemas.microsoft.com/office/word/2010/wordprocessingShape">
                        <wps:wsp>
                          <wps:cNvSpPr/>
                          <wps:spPr>
                            <a:xfrm>
                              <a:off x="0" y="0"/>
                              <a:ext cx="6961505" cy="1125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275A" w:rsidRPr="00893816" w:rsidRDefault="008B06B0" w:rsidP="00E64B46">
                                <w:pPr>
                                  <w:ind w:left="0"/>
                                  <w:jc w:val="center"/>
                                  <w:rPr>
                                    <w:rFonts w:ascii="BNPP Rounded" w:hAnsi="BNPP Rounded"/>
                                    <w:b/>
                                    <w:color w:val="00725A"/>
                                    <w:sz w:val="40"/>
                                    <w:szCs w:val="40"/>
                                  </w:rPr>
                                </w:pPr>
                                <w:r w:rsidRPr="00893816">
                                  <w:rPr>
                                    <w:rFonts w:ascii="BNPP Rounded" w:hAnsi="BNPP Rounded"/>
                                    <w:b/>
                                    <w:color w:val="00725A"/>
                                    <w:sz w:val="40"/>
                                    <w:szCs w:val="40"/>
                                  </w:rPr>
                                  <w:t xml:space="preserve">BNP Paribas UAE </w:t>
                                </w:r>
                                <w:r w:rsidR="0084275A" w:rsidRPr="00893816">
                                  <w:rPr>
                                    <w:rFonts w:ascii="BNPP Rounded" w:hAnsi="BNPP Rounded"/>
                                    <w:b/>
                                    <w:color w:val="00725A"/>
                                    <w:sz w:val="40"/>
                                    <w:szCs w:val="40"/>
                                  </w:rPr>
                                  <w:t>Branches</w:t>
                                </w:r>
                              </w:p>
                              <w:p w:rsidR="008B06B0" w:rsidRPr="00893816" w:rsidRDefault="008B06B0" w:rsidP="00E64B46">
                                <w:pPr>
                                  <w:ind w:left="0"/>
                                  <w:jc w:val="center"/>
                                  <w:rPr>
                                    <w:rFonts w:ascii="BNPP Rounded" w:hAnsi="BNPP Rounded"/>
                                    <w:b/>
                                    <w:color w:val="00725A"/>
                                    <w:sz w:val="40"/>
                                    <w:szCs w:val="40"/>
                                    <w:lang w:val="en-US"/>
                                  </w:rPr>
                                </w:pPr>
                                <w:r w:rsidRPr="00893816">
                                  <w:rPr>
                                    <w:rFonts w:ascii="BNPP Rounded" w:hAnsi="BNPP Rounded"/>
                                    <w:b/>
                                    <w:color w:val="00725A"/>
                                    <w:sz w:val="40"/>
                                    <w:szCs w:val="40"/>
                                  </w:rPr>
                                  <w:t>Pillar III</w:t>
                                </w:r>
                                <w:r w:rsidR="0084275A" w:rsidRPr="00893816">
                                  <w:rPr>
                                    <w:rFonts w:ascii="BNPP Rounded" w:hAnsi="BNPP Rounded"/>
                                    <w:b/>
                                    <w:color w:val="00725A"/>
                                    <w:sz w:val="40"/>
                                    <w:szCs w:val="40"/>
                                  </w:rPr>
                                  <w:t xml:space="preserve"> - </w:t>
                                </w:r>
                                <w:r w:rsidRPr="00893816">
                                  <w:rPr>
                                    <w:rFonts w:ascii="BNPP Rounded" w:hAnsi="BNPP Rounded"/>
                                    <w:b/>
                                    <w:color w:val="00725A"/>
                                    <w:sz w:val="40"/>
                                    <w:szCs w:val="40"/>
                                  </w:rPr>
                                  <w:t>31 Dec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F81C61" id="Rectangle 184" o:spid="_x0000_s1026" style="position:absolute;margin-left:-14pt;margin-top:9.6pt;width:548.15pt;height:88.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" fillcolor="white [3212]" stroked="f" strokeweight="2pt">
                    <v:textbox>
                      <w:txbxContent>
                        <w:p w:rsidR="0084275A" w:rsidRPr="00893816" w:rsidRDefault="008B06B0" w:rsidP="00E64B46">
                          <w:pPr>
                            <w:ind w:left="0"/>
                            <w:jc w:val="center"/>
                            <w:rPr>
                              <w:rFonts w:ascii="BNPP Rounded" w:hAnsi="BNPP Rounded"/>
                              <w:b/>
                              <w:color w:val="00725A"/>
                              <w:sz w:val="40"/>
                              <w:szCs w:val="40"/>
                            </w:rPr>
                          </w:pPr>
                          <w:r w:rsidRPr="00893816">
                            <w:rPr>
                              <w:rFonts w:ascii="BNPP Rounded" w:hAnsi="BNPP Rounded"/>
                              <w:b/>
                              <w:color w:val="00725A"/>
                              <w:sz w:val="40"/>
                              <w:szCs w:val="40"/>
                            </w:rPr>
                            <w:t xml:space="preserve">BNP Paribas UAE </w:t>
                          </w:r>
                          <w:r w:rsidR="0084275A" w:rsidRPr="00893816">
                            <w:rPr>
                              <w:rFonts w:ascii="BNPP Rounded" w:hAnsi="BNPP Rounded"/>
                              <w:b/>
                              <w:color w:val="00725A"/>
                              <w:sz w:val="40"/>
                              <w:szCs w:val="40"/>
                            </w:rPr>
                            <w:t>Branches</w:t>
                          </w:r>
                        </w:p>
                        <w:p w:rsidR="008B06B0" w:rsidRPr="00893816" w:rsidRDefault="008B06B0" w:rsidP="00E64B46">
                          <w:pPr>
                            <w:ind w:left="0"/>
                            <w:jc w:val="center"/>
                            <w:rPr>
                              <w:rFonts w:ascii="BNPP Rounded" w:hAnsi="BNPP Rounded"/>
                              <w:b/>
                              <w:color w:val="00725A"/>
                              <w:sz w:val="40"/>
                              <w:szCs w:val="40"/>
                              <w:lang w:val="en-US"/>
                            </w:rPr>
                          </w:pPr>
                          <w:r w:rsidRPr="00893816">
                            <w:rPr>
                              <w:rFonts w:ascii="BNPP Rounded" w:hAnsi="BNPP Rounded"/>
                              <w:b/>
                              <w:color w:val="00725A"/>
                              <w:sz w:val="40"/>
                              <w:szCs w:val="40"/>
                            </w:rPr>
                            <w:t>Pillar III</w:t>
                          </w:r>
                          <w:r w:rsidR="0084275A" w:rsidRPr="00893816">
                            <w:rPr>
                              <w:rFonts w:ascii="BNPP Rounded" w:hAnsi="BNPP Rounded"/>
                              <w:b/>
                              <w:color w:val="00725A"/>
                              <w:sz w:val="40"/>
                              <w:szCs w:val="40"/>
                            </w:rPr>
                            <w:t xml:space="preserve"> - </w:t>
                          </w:r>
                          <w:r w:rsidRPr="00893816">
                            <w:rPr>
                              <w:rFonts w:ascii="BNPP Rounded" w:hAnsi="BNPP Rounded"/>
                              <w:b/>
                              <w:color w:val="00725A"/>
                              <w:sz w:val="40"/>
                              <w:szCs w:val="40"/>
                            </w:rPr>
                            <w:t>31 Dec 2021</w:t>
                          </w:r>
                        </w:p>
                      </w:txbxContent>
                    </v:textbox>
                  </v:rect>
                </w:pict>
              </mc:Fallback>
            </mc:AlternateContent>
          </w:r>
        </w:p>
        <w:p w:rsidR="00084987" w:rsidRDefault="00084987" w:rsidP="00FD38D6">
          <w:pPr>
            <w:ind w:left="-426" w:right="-442"/>
          </w:pPr>
        </w:p>
        <w:p w:rsidR="0084275A" w:rsidRDefault="0084275A" w:rsidP="00FD38D6">
          <w:pPr>
            <w:ind w:left="-426" w:right="-442"/>
          </w:pPr>
        </w:p>
        <w:p w:rsidR="0084275A" w:rsidRDefault="0084275A" w:rsidP="00FD38D6">
          <w:pPr>
            <w:ind w:left="-426" w:right="-442"/>
          </w:pPr>
        </w:p>
        <w:p w:rsidR="0084275A" w:rsidRDefault="0084275A" w:rsidP="00FD38D6">
          <w:pPr>
            <w:ind w:left="-426" w:right="-442"/>
          </w:pPr>
        </w:p>
        <w:p w:rsidR="0084275A" w:rsidRDefault="0084275A" w:rsidP="00FD38D6">
          <w:pPr>
            <w:ind w:left="-426" w:right="-442"/>
          </w:pPr>
        </w:p>
        <w:p w:rsidR="0084275A" w:rsidRDefault="0084275A" w:rsidP="000B2A2B">
          <w:pPr>
            <w:ind w:left="0" w:right="-442"/>
            <w:jc w:val="center"/>
          </w:pPr>
          <w:r>
            <w:rPr>
              <w:noProof/>
              <w:lang w:val="en-US" w:eastAsia="ja-JP"/>
            </w:rPr>
            <w:drawing>
              <wp:inline distT="0" distB="0" distL="0" distR="0" wp14:anchorId="60DDAE58" wp14:editId="7F3EEDAA">
                <wp:extent cx="6463409" cy="628077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68335" cy="6285556"/>
                        </a:xfrm>
                        <a:prstGeom prst="rect">
                          <a:avLst/>
                        </a:prstGeom>
                      </pic:spPr>
                    </pic:pic>
                  </a:graphicData>
                </a:graphic>
              </wp:inline>
            </w:drawing>
          </w:r>
        </w:p>
        <w:p w:rsidR="0084275A" w:rsidRDefault="0084275A" w:rsidP="00FD38D6">
          <w:pPr>
            <w:ind w:left="-426" w:right="-442"/>
          </w:pPr>
        </w:p>
        <w:p w:rsidR="0084275A" w:rsidRDefault="0084275A" w:rsidP="00FD38D6">
          <w:pPr>
            <w:ind w:left="-426" w:right="-442"/>
          </w:pPr>
        </w:p>
        <w:p w:rsidR="0084275A" w:rsidRDefault="0084275A" w:rsidP="00FD38D6">
          <w:pPr>
            <w:ind w:left="-426" w:right="-442"/>
          </w:pPr>
        </w:p>
        <w:p w:rsidR="005200E9" w:rsidRPr="00F65152" w:rsidRDefault="00C16196" w:rsidP="0084275A">
          <w:pPr>
            <w:pStyle w:val="TOCHeading"/>
            <w:ind w:left="450"/>
            <w:rPr>
              <w:rFonts w:asciiTheme="minorHAnsi" w:hAnsiTheme="minorHAnsi"/>
              <w:noProof/>
              <w:lang w:eastAsia="fr-FR"/>
            </w:rPr>
          </w:pPr>
        </w:p>
      </w:sdtContent>
    </w:sdt>
    <w:sdt>
      <w:sdtPr>
        <w:rPr>
          <w:rFonts w:ascii="BNPP Rounded" w:eastAsiaTheme="minorEastAsia" w:hAnsi="BNPP Rounded" w:cstheme="minorBidi"/>
          <w:b w:val="0"/>
          <w:bCs w:val="0"/>
          <w:color w:val="auto"/>
          <w:sz w:val="22"/>
          <w:szCs w:val="22"/>
          <w:lang w:val="en-GB" w:eastAsia="en-US"/>
        </w:rPr>
        <w:id w:val="-1633711021"/>
        <w:docPartObj>
          <w:docPartGallery w:val="Table of Contents"/>
          <w:docPartUnique/>
        </w:docPartObj>
      </w:sdtPr>
      <w:sdtEndPr>
        <w:rPr>
          <w:rFonts w:asciiTheme="minorHAnsi" w:eastAsia="BNPP Sans Light" w:hAnsiTheme="minorHAnsi"/>
          <w:noProof/>
          <w:sz w:val="20"/>
          <w:szCs w:val="20"/>
        </w:rPr>
      </w:sdtEndPr>
      <w:sdtContent>
        <w:p w:rsidR="00C01F1A" w:rsidRPr="00893816" w:rsidRDefault="00C01F1A" w:rsidP="0084275A">
          <w:pPr>
            <w:pStyle w:val="TOCHeading"/>
            <w:ind w:left="450"/>
            <w:rPr>
              <w:rFonts w:ascii="BNPP Rounded" w:eastAsia="BNPP Sans Light" w:hAnsi="BNPP Rounded" w:cstheme="minorBidi"/>
              <w:bCs w:val="0"/>
              <w:caps/>
              <w:color w:val="00915A" w:themeColor="accent1"/>
              <w:szCs w:val="32"/>
              <w:lang w:val="en-GB" w:eastAsia="en-US"/>
            </w:rPr>
          </w:pPr>
          <w:r w:rsidRPr="00893816">
            <w:rPr>
              <w:rFonts w:ascii="BNPP Rounded" w:eastAsia="BNPP Sans Light" w:hAnsi="BNPP Rounded" w:cstheme="minorBidi"/>
              <w:bCs w:val="0"/>
              <w:caps/>
              <w:color w:val="00915A" w:themeColor="accent1"/>
              <w:szCs w:val="32"/>
              <w:lang w:val="en-GB" w:eastAsia="en-US"/>
            </w:rPr>
            <w:t>CONTENTS</w:t>
          </w:r>
        </w:p>
        <w:p w:rsidR="00C01F1A" w:rsidRPr="00F65152" w:rsidRDefault="00C01F1A" w:rsidP="0084275A">
          <w:pPr>
            <w:ind w:left="450"/>
            <w:rPr>
              <w:lang w:val="en-US"/>
            </w:rPr>
          </w:pPr>
        </w:p>
        <w:p w:rsidR="007E1FA9" w:rsidRPr="00C16196" w:rsidRDefault="00C01F1A">
          <w:pPr>
            <w:pStyle w:val="TOC1"/>
            <w:rPr>
              <w:b/>
              <w:noProof/>
              <w:lang w:val="en-US"/>
            </w:rPr>
          </w:pPr>
          <w:r w:rsidRPr="00C16196">
            <w:rPr>
              <w:b/>
            </w:rPr>
            <w:fldChar w:fldCharType="begin"/>
          </w:r>
          <w:r w:rsidRPr="00C16196">
            <w:rPr>
              <w:b/>
            </w:rPr>
            <w:instrText xml:space="preserve"> TOC \o "1-3" \h \z \u </w:instrText>
          </w:r>
          <w:r w:rsidRPr="00C16196">
            <w:rPr>
              <w:b/>
            </w:rPr>
            <w:fldChar w:fldCharType="separate"/>
          </w:r>
          <w:hyperlink w:anchor="_Toc104282200" w:history="1">
            <w:r w:rsidR="007E1FA9" w:rsidRPr="00C16196">
              <w:rPr>
                <w:rStyle w:val="Hyperlink"/>
                <w:b/>
                <w:noProof/>
              </w:rPr>
              <w:t>EXECUTIVE SUMMARY</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_Toc104282200 \h </w:instrText>
            </w:r>
            <w:r w:rsidR="007E1FA9" w:rsidRPr="00C16196">
              <w:rPr>
                <w:b/>
                <w:noProof/>
                <w:webHidden/>
              </w:rPr>
            </w:r>
            <w:r w:rsidR="007E1FA9" w:rsidRPr="00C16196">
              <w:rPr>
                <w:b/>
                <w:noProof/>
                <w:webHidden/>
              </w:rPr>
              <w:fldChar w:fldCharType="separate"/>
            </w:r>
            <w:r w:rsidR="007E1FA9" w:rsidRPr="00C16196">
              <w:rPr>
                <w:b/>
                <w:noProof/>
                <w:webHidden/>
              </w:rPr>
              <w:t>3</w:t>
            </w:r>
            <w:r w:rsidR="007E1FA9" w:rsidRPr="00C16196">
              <w:rPr>
                <w:b/>
                <w:noProof/>
                <w:webHidden/>
              </w:rPr>
              <w:fldChar w:fldCharType="end"/>
            </w:r>
          </w:hyperlink>
        </w:p>
        <w:p w:rsidR="007E1FA9" w:rsidRPr="00C16196" w:rsidRDefault="00C16196">
          <w:pPr>
            <w:pStyle w:val="TOC1"/>
            <w:rPr>
              <w:b/>
              <w:noProof/>
              <w:lang w:val="en-US"/>
            </w:rPr>
          </w:pPr>
          <w:hyperlink w:anchor="_Toc104282201" w:history="1">
            <w:r w:rsidR="007E1FA9" w:rsidRPr="00C16196">
              <w:rPr>
                <w:rStyle w:val="Hyperlink"/>
                <w:b/>
                <w:noProof/>
              </w:rPr>
              <w:t>BNP PARIBAS GROUP</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_Toc104282201 \h </w:instrText>
            </w:r>
            <w:r w:rsidR="007E1FA9" w:rsidRPr="00C16196">
              <w:rPr>
                <w:b/>
                <w:noProof/>
                <w:webHidden/>
              </w:rPr>
            </w:r>
            <w:r w:rsidR="007E1FA9" w:rsidRPr="00C16196">
              <w:rPr>
                <w:b/>
                <w:noProof/>
                <w:webHidden/>
              </w:rPr>
              <w:fldChar w:fldCharType="separate"/>
            </w:r>
            <w:r w:rsidR="007E1FA9" w:rsidRPr="00C16196">
              <w:rPr>
                <w:b/>
                <w:noProof/>
                <w:webHidden/>
              </w:rPr>
              <w:t>4</w:t>
            </w:r>
            <w:r w:rsidR="007E1FA9" w:rsidRPr="00C16196">
              <w:rPr>
                <w:b/>
                <w:noProof/>
                <w:webHidden/>
              </w:rPr>
              <w:fldChar w:fldCharType="end"/>
            </w:r>
          </w:hyperlink>
        </w:p>
        <w:p w:rsidR="007E1FA9" w:rsidRPr="00C16196" w:rsidRDefault="00C16196">
          <w:pPr>
            <w:pStyle w:val="TOC1"/>
            <w:rPr>
              <w:b/>
              <w:noProof/>
              <w:lang w:val="en-US"/>
            </w:rPr>
          </w:pPr>
          <w:hyperlink w:anchor="_Toc104282202" w:history="1">
            <w:r w:rsidR="007E1FA9" w:rsidRPr="00C16196">
              <w:rPr>
                <w:rStyle w:val="Hyperlink"/>
                <w:b/>
                <w:noProof/>
              </w:rPr>
              <w:t>FINANCIAL PERFORMANCE: year 2021</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_Toc104282202 \h </w:instrText>
            </w:r>
            <w:r w:rsidR="007E1FA9" w:rsidRPr="00C16196">
              <w:rPr>
                <w:b/>
                <w:noProof/>
                <w:webHidden/>
              </w:rPr>
            </w:r>
            <w:r w:rsidR="007E1FA9" w:rsidRPr="00C16196">
              <w:rPr>
                <w:b/>
                <w:noProof/>
                <w:webHidden/>
              </w:rPr>
              <w:fldChar w:fldCharType="separate"/>
            </w:r>
            <w:r w:rsidR="007E1FA9" w:rsidRPr="00C16196">
              <w:rPr>
                <w:b/>
                <w:noProof/>
                <w:webHidden/>
              </w:rPr>
              <w:t>5</w:t>
            </w:r>
            <w:r w:rsidR="007E1FA9" w:rsidRPr="00C16196">
              <w:rPr>
                <w:b/>
                <w:noProof/>
                <w:webHidden/>
              </w:rPr>
              <w:fldChar w:fldCharType="end"/>
            </w:r>
          </w:hyperlink>
        </w:p>
        <w:p w:rsidR="007E1FA9" w:rsidRPr="00C16196" w:rsidRDefault="00C16196">
          <w:pPr>
            <w:pStyle w:val="TOC1"/>
            <w:rPr>
              <w:b/>
              <w:noProof/>
              <w:lang w:val="en-US"/>
            </w:rPr>
          </w:pPr>
          <w:hyperlink w:anchor="_Toc104282203" w:history="1">
            <w:r w:rsidR="007E1FA9" w:rsidRPr="00C16196">
              <w:rPr>
                <w:rStyle w:val="Hyperlink"/>
                <w:b/>
                <w:noProof/>
              </w:rPr>
              <w:t>CAPITAL COMPOSITION</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_Toc104282203 \h </w:instrText>
            </w:r>
            <w:r w:rsidR="007E1FA9" w:rsidRPr="00C16196">
              <w:rPr>
                <w:b/>
                <w:noProof/>
                <w:webHidden/>
              </w:rPr>
            </w:r>
            <w:r w:rsidR="007E1FA9" w:rsidRPr="00C16196">
              <w:rPr>
                <w:b/>
                <w:noProof/>
                <w:webHidden/>
              </w:rPr>
              <w:fldChar w:fldCharType="separate"/>
            </w:r>
            <w:r w:rsidR="007E1FA9" w:rsidRPr="00C16196">
              <w:rPr>
                <w:b/>
                <w:noProof/>
                <w:webHidden/>
              </w:rPr>
              <w:t>6</w:t>
            </w:r>
            <w:r w:rsidR="007E1FA9" w:rsidRPr="00C16196">
              <w:rPr>
                <w:b/>
                <w:noProof/>
                <w:webHidden/>
              </w:rPr>
              <w:fldChar w:fldCharType="end"/>
            </w:r>
          </w:hyperlink>
        </w:p>
        <w:p w:rsidR="007E1FA9" w:rsidRPr="00C16196" w:rsidRDefault="00C16196">
          <w:pPr>
            <w:pStyle w:val="TOC1"/>
            <w:rPr>
              <w:b/>
              <w:noProof/>
              <w:lang w:val="en-US"/>
            </w:rPr>
          </w:pPr>
          <w:hyperlink w:anchor="_Toc104282204" w:history="1">
            <w:r w:rsidR="007E1FA9" w:rsidRPr="00C16196">
              <w:rPr>
                <w:rStyle w:val="Hyperlink"/>
                <w:b/>
                <w:noProof/>
              </w:rPr>
              <w:t>CAPITAL MANAGEMENT</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_Toc104282204 \h </w:instrText>
            </w:r>
            <w:r w:rsidR="007E1FA9" w:rsidRPr="00C16196">
              <w:rPr>
                <w:b/>
                <w:noProof/>
                <w:webHidden/>
              </w:rPr>
            </w:r>
            <w:r w:rsidR="007E1FA9" w:rsidRPr="00C16196">
              <w:rPr>
                <w:b/>
                <w:noProof/>
                <w:webHidden/>
              </w:rPr>
              <w:fldChar w:fldCharType="separate"/>
            </w:r>
            <w:r w:rsidR="007E1FA9" w:rsidRPr="00C16196">
              <w:rPr>
                <w:b/>
                <w:noProof/>
                <w:webHidden/>
              </w:rPr>
              <w:t>7</w:t>
            </w:r>
            <w:r w:rsidR="007E1FA9" w:rsidRPr="00C16196">
              <w:rPr>
                <w:b/>
                <w:noProof/>
                <w:webHidden/>
              </w:rPr>
              <w:fldChar w:fldCharType="end"/>
            </w:r>
          </w:hyperlink>
        </w:p>
        <w:p w:rsidR="007E1FA9" w:rsidRPr="00C16196" w:rsidRDefault="00C16196">
          <w:pPr>
            <w:pStyle w:val="TOC1"/>
            <w:rPr>
              <w:b/>
              <w:noProof/>
              <w:lang w:val="en-US"/>
            </w:rPr>
          </w:pPr>
          <w:hyperlink w:anchor="_Toc104282205" w:history="1">
            <w:r w:rsidR="007E1FA9" w:rsidRPr="00C16196">
              <w:rPr>
                <w:rStyle w:val="Hyperlink"/>
                <w:b/>
                <w:noProof/>
              </w:rPr>
              <w:t>RISK MANAGEMENT</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_Toc104282205 \h </w:instrText>
            </w:r>
            <w:r w:rsidR="007E1FA9" w:rsidRPr="00C16196">
              <w:rPr>
                <w:b/>
                <w:noProof/>
                <w:webHidden/>
              </w:rPr>
            </w:r>
            <w:r w:rsidR="007E1FA9" w:rsidRPr="00C16196">
              <w:rPr>
                <w:b/>
                <w:noProof/>
                <w:webHidden/>
              </w:rPr>
              <w:fldChar w:fldCharType="separate"/>
            </w:r>
            <w:r w:rsidR="007E1FA9" w:rsidRPr="00C16196">
              <w:rPr>
                <w:b/>
                <w:noProof/>
                <w:webHidden/>
              </w:rPr>
              <w:t>8</w:t>
            </w:r>
            <w:r w:rsidR="007E1FA9" w:rsidRPr="00C16196">
              <w:rPr>
                <w:b/>
                <w:noProof/>
                <w:webHidden/>
              </w:rPr>
              <w:fldChar w:fldCharType="end"/>
            </w:r>
          </w:hyperlink>
        </w:p>
        <w:p w:rsidR="007E1FA9" w:rsidRPr="00C16196" w:rsidRDefault="00C16196">
          <w:pPr>
            <w:pStyle w:val="TOC1"/>
            <w:rPr>
              <w:b/>
              <w:noProof/>
              <w:lang w:val="en-US"/>
            </w:rPr>
          </w:pPr>
          <w:hyperlink w:anchor="_Toc104282206" w:history="1">
            <w:r w:rsidR="007E1FA9" w:rsidRPr="00C16196">
              <w:rPr>
                <w:rStyle w:val="Hyperlink"/>
                <w:b/>
                <w:noProof/>
              </w:rPr>
              <w:t>CREDIT RISK</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_Toc104282206 \h </w:instrText>
            </w:r>
            <w:r w:rsidR="007E1FA9" w:rsidRPr="00C16196">
              <w:rPr>
                <w:b/>
                <w:noProof/>
                <w:webHidden/>
              </w:rPr>
            </w:r>
            <w:r w:rsidR="007E1FA9" w:rsidRPr="00C16196">
              <w:rPr>
                <w:b/>
                <w:noProof/>
                <w:webHidden/>
              </w:rPr>
              <w:fldChar w:fldCharType="separate"/>
            </w:r>
            <w:r w:rsidR="007E1FA9" w:rsidRPr="00C16196">
              <w:rPr>
                <w:b/>
                <w:noProof/>
                <w:webHidden/>
              </w:rPr>
              <w:t>9</w:t>
            </w:r>
            <w:r w:rsidR="007E1FA9" w:rsidRPr="00C16196">
              <w:rPr>
                <w:b/>
                <w:noProof/>
                <w:webHidden/>
              </w:rPr>
              <w:fldChar w:fldCharType="end"/>
            </w:r>
          </w:hyperlink>
        </w:p>
        <w:p w:rsidR="007E1FA9" w:rsidRPr="00C16196" w:rsidRDefault="00C16196">
          <w:pPr>
            <w:pStyle w:val="TOC1"/>
            <w:rPr>
              <w:b/>
              <w:noProof/>
              <w:lang w:val="en-US"/>
            </w:rPr>
          </w:pPr>
          <w:hyperlink w:anchor="_Toc104282207" w:history="1">
            <w:r w:rsidR="007E1FA9" w:rsidRPr="00C16196">
              <w:rPr>
                <w:rStyle w:val="Hyperlink"/>
                <w:b/>
                <w:noProof/>
              </w:rPr>
              <w:t>MARKET RISK</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_Toc104282207 \h </w:instrText>
            </w:r>
            <w:r w:rsidR="007E1FA9" w:rsidRPr="00C16196">
              <w:rPr>
                <w:b/>
                <w:noProof/>
                <w:webHidden/>
              </w:rPr>
            </w:r>
            <w:r w:rsidR="007E1FA9" w:rsidRPr="00C16196">
              <w:rPr>
                <w:b/>
                <w:noProof/>
                <w:webHidden/>
              </w:rPr>
              <w:fldChar w:fldCharType="separate"/>
            </w:r>
            <w:r w:rsidR="007E1FA9" w:rsidRPr="00C16196">
              <w:rPr>
                <w:b/>
                <w:noProof/>
                <w:webHidden/>
              </w:rPr>
              <w:t>11</w:t>
            </w:r>
            <w:r w:rsidR="007E1FA9" w:rsidRPr="00C16196">
              <w:rPr>
                <w:b/>
                <w:noProof/>
                <w:webHidden/>
              </w:rPr>
              <w:fldChar w:fldCharType="end"/>
            </w:r>
          </w:hyperlink>
        </w:p>
        <w:p w:rsidR="007E1FA9" w:rsidRPr="00C16196" w:rsidRDefault="00C16196">
          <w:pPr>
            <w:pStyle w:val="TOC1"/>
            <w:rPr>
              <w:b/>
              <w:noProof/>
              <w:lang w:val="en-US"/>
            </w:rPr>
          </w:pPr>
          <w:hyperlink w:anchor="_Toc104282208" w:history="1">
            <w:r w:rsidR="007E1FA9" w:rsidRPr="00C16196">
              <w:rPr>
                <w:rStyle w:val="Hyperlink"/>
                <w:b/>
                <w:noProof/>
              </w:rPr>
              <w:t>OPERATIONAL RISK</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_Toc104282208 \h </w:instrText>
            </w:r>
            <w:r w:rsidR="007E1FA9" w:rsidRPr="00C16196">
              <w:rPr>
                <w:b/>
                <w:noProof/>
                <w:webHidden/>
              </w:rPr>
            </w:r>
            <w:r w:rsidR="007E1FA9" w:rsidRPr="00C16196">
              <w:rPr>
                <w:b/>
                <w:noProof/>
                <w:webHidden/>
              </w:rPr>
              <w:fldChar w:fldCharType="separate"/>
            </w:r>
            <w:r w:rsidR="007E1FA9" w:rsidRPr="00C16196">
              <w:rPr>
                <w:b/>
                <w:noProof/>
                <w:webHidden/>
              </w:rPr>
              <w:t>12</w:t>
            </w:r>
            <w:r w:rsidR="007E1FA9" w:rsidRPr="00C16196">
              <w:rPr>
                <w:b/>
                <w:noProof/>
                <w:webHidden/>
              </w:rPr>
              <w:fldChar w:fldCharType="end"/>
            </w:r>
          </w:hyperlink>
        </w:p>
        <w:p w:rsidR="007E1FA9" w:rsidRPr="00C16196" w:rsidRDefault="00C16196">
          <w:pPr>
            <w:pStyle w:val="TOC1"/>
            <w:rPr>
              <w:b/>
              <w:noProof/>
              <w:lang w:val="en-US"/>
            </w:rPr>
          </w:pPr>
          <w:hyperlink w:anchor="_Toc104282209" w:history="1">
            <w:r w:rsidR="007E1FA9" w:rsidRPr="00C16196">
              <w:rPr>
                <w:rStyle w:val="Hyperlink"/>
                <w:b/>
                <w:noProof/>
              </w:rPr>
              <w:t>LIQUIDITY RISK</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_Toc104282209 \h </w:instrText>
            </w:r>
            <w:r w:rsidR="007E1FA9" w:rsidRPr="00C16196">
              <w:rPr>
                <w:b/>
                <w:noProof/>
                <w:webHidden/>
              </w:rPr>
            </w:r>
            <w:r w:rsidR="007E1FA9" w:rsidRPr="00C16196">
              <w:rPr>
                <w:b/>
                <w:noProof/>
                <w:webHidden/>
              </w:rPr>
              <w:fldChar w:fldCharType="separate"/>
            </w:r>
            <w:r w:rsidR="007E1FA9" w:rsidRPr="00C16196">
              <w:rPr>
                <w:b/>
                <w:noProof/>
                <w:webHidden/>
              </w:rPr>
              <w:t>13</w:t>
            </w:r>
            <w:r w:rsidR="007E1FA9" w:rsidRPr="00C16196">
              <w:rPr>
                <w:b/>
                <w:noProof/>
                <w:webHidden/>
              </w:rPr>
              <w:fldChar w:fldCharType="end"/>
            </w:r>
          </w:hyperlink>
        </w:p>
        <w:p w:rsidR="007E1FA9" w:rsidRPr="00C16196" w:rsidRDefault="00C16196">
          <w:pPr>
            <w:pStyle w:val="TOC1"/>
            <w:rPr>
              <w:b/>
              <w:noProof/>
              <w:lang w:val="en-US"/>
            </w:rPr>
          </w:pPr>
          <w:hyperlink w:anchor="_Toc104282210" w:history="1">
            <w:r w:rsidR="007E1FA9" w:rsidRPr="00C16196">
              <w:rPr>
                <w:rStyle w:val="Hyperlink"/>
                <w:b/>
                <w:noProof/>
              </w:rPr>
              <w:t>LEVERAGE RATIO</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_Toc104282210 \h </w:instrText>
            </w:r>
            <w:r w:rsidR="007E1FA9" w:rsidRPr="00C16196">
              <w:rPr>
                <w:b/>
                <w:noProof/>
                <w:webHidden/>
              </w:rPr>
            </w:r>
            <w:r w:rsidR="007E1FA9" w:rsidRPr="00C16196">
              <w:rPr>
                <w:b/>
                <w:noProof/>
                <w:webHidden/>
              </w:rPr>
              <w:fldChar w:fldCharType="separate"/>
            </w:r>
            <w:r w:rsidR="007E1FA9" w:rsidRPr="00C16196">
              <w:rPr>
                <w:b/>
                <w:noProof/>
                <w:webHidden/>
              </w:rPr>
              <w:t>14</w:t>
            </w:r>
            <w:r w:rsidR="007E1FA9" w:rsidRPr="00C16196">
              <w:rPr>
                <w:b/>
                <w:noProof/>
                <w:webHidden/>
              </w:rPr>
              <w:fldChar w:fldCharType="end"/>
            </w:r>
          </w:hyperlink>
        </w:p>
        <w:p w:rsidR="007E1FA9" w:rsidRPr="00C16196" w:rsidRDefault="00C16196">
          <w:pPr>
            <w:pStyle w:val="TOC1"/>
            <w:rPr>
              <w:b/>
              <w:noProof/>
              <w:lang w:val="en-US"/>
            </w:rPr>
          </w:pPr>
          <w:hyperlink w:anchor="_Toc104282211" w:history="1">
            <w:r w:rsidR="007E1FA9" w:rsidRPr="00C16196">
              <w:rPr>
                <w:rStyle w:val="Hyperlink"/>
                <w:b/>
                <w:noProof/>
              </w:rPr>
              <w:t>REMUNERATION</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_Toc104282211 \h </w:instrText>
            </w:r>
            <w:r w:rsidR="007E1FA9" w:rsidRPr="00C16196">
              <w:rPr>
                <w:b/>
                <w:noProof/>
                <w:webHidden/>
              </w:rPr>
            </w:r>
            <w:r w:rsidR="007E1FA9" w:rsidRPr="00C16196">
              <w:rPr>
                <w:b/>
                <w:noProof/>
                <w:webHidden/>
              </w:rPr>
              <w:fldChar w:fldCharType="separate"/>
            </w:r>
            <w:r w:rsidR="007E1FA9" w:rsidRPr="00C16196">
              <w:rPr>
                <w:b/>
                <w:noProof/>
                <w:webHidden/>
              </w:rPr>
              <w:t>15</w:t>
            </w:r>
            <w:r w:rsidR="007E1FA9" w:rsidRPr="00C16196">
              <w:rPr>
                <w:b/>
                <w:noProof/>
                <w:webHidden/>
              </w:rPr>
              <w:fldChar w:fldCharType="end"/>
            </w:r>
          </w:hyperlink>
        </w:p>
        <w:p w:rsidR="007E1FA9" w:rsidRPr="00C16196" w:rsidRDefault="00C16196">
          <w:pPr>
            <w:pStyle w:val="TOC1"/>
            <w:rPr>
              <w:b/>
              <w:noProof/>
              <w:lang w:val="en-US"/>
            </w:rPr>
          </w:pPr>
          <w:hyperlink w:anchor="_Toc104282212" w:history="1">
            <w:r w:rsidR="007E1FA9" w:rsidRPr="00C16196">
              <w:rPr>
                <w:rStyle w:val="Hyperlink"/>
                <w:b/>
                <w:noProof/>
              </w:rPr>
              <w:t>APPENDIX</w:t>
            </w:r>
            <w:r w:rsidR="007E1FA9" w:rsidRPr="00C16196">
              <w:rPr>
                <w:b/>
                <w:noProof/>
                <w:webHidden/>
              </w:rPr>
              <w:tab/>
            </w:r>
            <w:r w:rsidR="007E1FA9" w:rsidRPr="00C16196">
              <w:rPr>
                <w:b/>
                <w:noProof/>
                <w:webHidden/>
              </w:rPr>
              <w:fldChar w:fldCharType="begin"/>
            </w:r>
            <w:r w:rsidR="007E1FA9" w:rsidRPr="00C16196">
              <w:rPr>
                <w:b/>
                <w:noProof/>
                <w:webHidden/>
              </w:rPr>
              <w:instrText xml:space="preserve"> PAGEREF _Toc104282212 \h </w:instrText>
            </w:r>
            <w:r w:rsidR="007E1FA9" w:rsidRPr="00C16196">
              <w:rPr>
                <w:b/>
                <w:noProof/>
                <w:webHidden/>
              </w:rPr>
            </w:r>
            <w:r w:rsidR="007E1FA9" w:rsidRPr="00C16196">
              <w:rPr>
                <w:b/>
                <w:noProof/>
                <w:webHidden/>
              </w:rPr>
              <w:fldChar w:fldCharType="separate"/>
            </w:r>
            <w:r w:rsidR="007E1FA9" w:rsidRPr="00C16196">
              <w:rPr>
                <w:b/>
                <w:noProof/>
                <w:webHidden/>
              </w:rPr>
              <w:t>16</w:t>
            </w:r>
            <w:r w:rsidR="007E1FA9" w:rsidRPr="00C16196">
              <w:rPr>
                <w:b/>
                <w:noProof/>
                <w:webHidden/>
              </w:rPr>
              <w:fldChar w:fldCharType="end"/>
            </w:r>
          </w:hyperlink>
        </w:p>
        <w:p w:rsidR="00C01F1A" w:rsidRPr="007E1FA9" w:rsidRDefault="00C01F1A" w:rsidP="0084275A">
          <w:pPr>
            <w:ind w:left="450"/>
          </w:pPr>
          <w:r w:rsidRPr="00C16196">
            <w:rPr>
              <w:b/>
              <w:bCs/>
              <w:noProof/>
            </w:rPr>
            <w:fldChar w:fldCharType="end"/>
          </w:r>
        </w:p>
      </w:sdtContent>
    </w:sdt>
    <w:p w:rsidR="00C01F1A" w:rsidRPr="00F65152" w:rsidRDefault="00C01F1A" w:rsidP="00C01F1A">
      <w:pPr>
        <w:autoSpaceDE w:val="0"/>
        <w:autoSpaceDN w:val="0"/>
        <w:adjustRightInd w:val="0"/>
        <w:rPr>
          <w:rFonts w:cs="Arial"/>
          <w:b/>
          <w:color w:val="00985F"/>
          <w:sz w:val="32"/>
          <w:szCs w:val="32"/>
        </w:rPr>
      </w:pPr>
    </w:p>
    <w:p w:rsidR="005200E9" w:rsidRPr="00F65152" w:rsidRDefault="005200E9" w:rsidP="00C01F1A">
      <w:pPr>
        <w:autoSpaceDE w:val="0"/>
        <w:autoSpaceDN w:val="0"/>
        <w:adjustRightInd w:val="0"/>
        <w:rPr>
          <w:rFonts w:cs="Arial"/>
          <w:b/>
          <w:color w:val="00985F"/>
          <w:sz w:val="32"/>
          <w:szCs w:val="32"/>
        </w:rPr>
      </w:pPr>
    </w:p>
    <w:p w:rsidR="005200E9" w:rsidRPr="00F65152" w:rsidRDefault="005200E9" w:rsidP="00C01F1A">
      <w:pPr>
        <w:autoSpaceDE w:val="0"/>
        <w:autoSpaceDN w:val="0"/>
        <w:adjustRightInd w:val="0"/>
        <w:rPr>
          <w:rFonts w:cs="Arial"/>
          <w:b/>
          <w:color w:val="00985F"/>
          <w:sz w:val="32"/>
          <w:szCs w:val="32"/>
        </w:rPr>
      </w:pPr>
    </w:p>
    <w:p w:rsidR="005200E9" w:rsidRPr="00F65152" w:rsidRDefault="005200E9" w:rsidP="00C01F1A">
      <w:pPr>
        <w:autoSpaceDE w:val="0"/>
        <w:autoSpaceDN w:val="0"/>
        <w:adjustRightInd w:val="0"/>
        <w:rPr>
          <w:rFonts w:cs="Arial"/>
          <w:b/>
          <w:color w:val="00985F"/>
          <w:sz w:val="32"/>
          <w:szCs w:val="32"/>
        </w:rPr>
      </w:pPr>
    </w:p>
    <w:p w:rsidR="005200E9" w:rsidRPr="00F65152" w:rsidRDefault="005200E9"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Pr="00F65152" w:rsidRDefault="00C01F1A" w:rsidP="00C01F1A">
      <w:pPr>
        <w:autoSpaceDE w:val="0"/>
        <w:autoSpaceDN w:val="0"/>
        <w:adjustRightInd w:val="0"/>
        <w:rPr>
          <w:rFonts w:cs="Arial"/>
          <w:b/>
          <w:color w:val="00985F"/>
          <w:sz w:val="32"/>
          <w:szCs w:val="32"/>
        </w:rPr>
      </w:pPr>
    </w:p>
    <w:p w:rsidR="00C01F1A" w:rsidRDefault="00C01F1A" w:rsidP="00C01F1A">
      <w:pPr>
        <w:autoSpaceDE w:val="0"/>
        <w:autoSpaceDN w:val="0"/>
        <w:adjustRightInd w:val="0"/>
        <w:rPr>
          <w:rFonts w:cs="Arial"/>
          <w:b/>
          <w:color w:val="00985F"/>
          <w:sz w:val="32"/>
          <w:szCs w:val="32"/>
        </w:rPr>
      </w:pPr>
    </w:p>
    <w:p w:rsidR="006941BD" w:rsidRPr="00F65152" w:rsidRDefault="006941BD" w:rsidP="00C01F1A">
      <w:pPr>
        <w:autoSpaceDE w:val="0"/>
        <w:autoSpaceDN w:val="0"/>
        <w:adjustRightInd w:val="0"/>
        <w:rPr>
          <w:rFonts w:cs="Arial"/>
          <w:b/>
          <w:color w:val="00985F"/>
          <w:sz w:val="32"/>
          <w:szCs w:val="32"/>
        </w:rPr>
      </w:pPr>
    </w:p>
    <w:p w:rsidR="00C01F1A" w:rsidRPr="00893816" w:rsidRDefault="00CD5074" w:rsidP="00C01F1A">
      <w:pPr>
        <w:pStyle w:val="Heading1"/>
        <w:rPr>
          <w:rFonts w:ascii="BNPP Rounded" w:hAnsi="BNPP Rounded"/>
          <w:b/>
          <w:sz w:val="32"/>
        </w:rPr>
      </w:pPr>
      <w:bookmarkStart w:id="1" w:name="_Toc104282200"/>
      <w:r w:rsidRPr="00893816">
        <w:rPr>
          <w:rFonts w:ascii="BNPP Rounded" w:hAnsi="BNPP Rounded"/>
          <w:b/>
          <w:sz w:val="32"/>
        </w:rPr>
        <w:t>EXECUTIVE SUMMARY</w:t>
      </w:r>
      <w:bookmarkEnd w:id="1"/>
    </w:p>
    <w:p w:rsidR="00C01F1A" w:rsidRPr="00F65152" w:rsidRDefault="00C01F1A" w:rsidP="00C01F1A">
      <w:pPr>
        <w:autoSpaceDE w:val="0"/>
        <w:autoSpaceDN w:val="0"/>
        <w:adjustRightInd w:val="0"/>
        <w:rPr>
          <w:rFonts w:cs="Arial"/>
          <w:color w:val="000000"/>
        </w:rPr>
      </w:pPr>
    </w:p>
    <w:p w:rsidR="00DB0ACE" w:rsidRPr="00F65152" w:rsidRDefault="002A7632" w:rsidP="00DB0ACE">
      <w:pPr>
        <w:autoSpaceDE w:val="0"/>
        <w:autoSpaceDN w:val="0"/>
        <w:adjustRightInd w:val="0"/>
        <w:jc w:val="both"/>
        <w:rPr>
          <w:rFonts w:cs="Arial"/>
          <w:color w:val="000000"/>
        </w:rPr>
      </w:pPr>
      <w:r w:rsidRPr="00F65152">
        <w:rPr>
          <w:rFonts w:cs="Arial"/>
          <w:color w:val="000000"/>
        </w:rPr>
        <w:t>BNP Paribas UAE branches</w:t>
      </w:r>
      <w:r w:rsidR="00CD5074" w:rsidRPr="00F65152">
        <w:rPr>
          <w:rFonts w:cs="Arial"/>
          <w:color w:val="000000"/>
        </w:rPr>
        <w:t xml:space="preserve"> </w:t>
      </w:r>
      <w:r w:rsidRPr="00F65152">
        <w:rPr>
          <w:rFonts w:cs="Arial"/>
          <w:color w:val="000000"/>
        </w:rPr>
        <w:t>are</w:t>
      </w:r>
      <w:r w:rsidR="00CD5074" w:rsidRPr="00F65152">
        <w:rPr>
          <w:rFonts w:cs="Arial"/>
          <w:color w:val="000000"/>
        </w:rPr>
        <w:t xml:space="preserve"> branch</w:t>
      </w:r>
      <w:r w:rsidR="00DB0ACE" w:rsidRPr="00F65152">
        <w:rPr>
          <w:rFonts w:cs="Arial"/>
          <w:color w:val="000000"/>
        </w:rPr>
        <w:t>es</w:t>
      </w:r>
      <w:r w:rsidR="00CD5074" w:rsidRPr="00F65152">
        <w:rPr>
          <w:rFonts w:cs="Arial"/>
          <w:color w:val="000000"/>
        </w:rPr>
        <w:t xml:space="preserve"> of BNP Paribas S.A. (the “Bank” or the “Head Office”) incorporated and domiciled in France. The Branch</w:t>
      </w:r>
      <w:r w:rsidR="00DB0ACE" w:rsidRPr="00F65152">
        <w:rPr>
          <w:rFonts w:cs="Arial"/>
          <w:color w:val="000000"/>
        </w:rPr>
        <w:t>es</w:t>
      </w:r>
      <w:r w:rsidR="00CD5074" w:rsidRPr="00F65152">
        <w:rPr>
          <w:rFonts w:cs="Arial"/>
          <w:color w:val="000000"/>
        </w:rPr>
        <w:t xml:space="preserve"> operates under the Corporate and Institutional Banking division of BNP Paribas S.A.</w:t>
      </w:r>
      <w:r w:rsidR="00DB0ACE" w:rsidRPr="00F65152">
        <w:rPr>
          <w:rFonts w:cs="Arial"/>
          <w:color w:val="000000"/>
        </w:rPr>
        <w:t xml:space="preserve"> BNP Paribas UAE scope of consolidation is:</w:t>
      </w:r>
    </w:p>
    <w:p w:rsidR="00DB0ACE" w:rsidRPr="00F65152" w:rsidRDefault="00DB0ACE" w:rsidP="00DB0ACE">
      <w:pPr>
        <w:autoSpaceDE w:val="0"/>
        <w:autoSpaceDN w:val="0"/>
        <w:adjustRightInd w:val="0"/>
        <w:jc w:val="both"/>
        <w:rPr>
          <w:rFonts w:cs="Arial"/>
          <w:color w:val="000000"/>
        </w:rPr>
      </w:pPr>
    </w:p>
    <w:p w:rsidR="00DB0ACE" w:rsidRPr="00F65152" w:rsidRDefault="00DB0ACE" w:rsidP="00DB0ACE">
      <w:pPr>
        <w:autoSpaceDE w:val="0"/>
        <w:autoSpaceDN w:val="0"/>
        <w:adjustRightInd w:val="0"/>
        <w:jc w:val="both"/>
        <w:rPr>
          <w:rFonts w:cs="Arial"/>
          <w:color w:val="000000"/>
          <w:lang w:val="fr-FR"/>
        </w:rPr>
      </w:pPr>
      <w:r w:rsidRPr="00F65152">
        <w:rPr>
          <w:rFonts w:cs="Arial"/>
          <w:color w:val="000000"/>
          <w:lang w:val="fr-FR"/>
        </w:rPr>
        <w:t>•</w:t>
      </w:r>
      <w:r w:rsidRPr="00F65152">
        <w:rPr>
          <w:rFonts w:cs="Arial"/>
          <w:color w:val="000000"/>
          <w:lang w:val="fr-FR"/>
        </w:rPr>
        <w:tab/>
        <w:t>BNP Paribas Dubai branch</w:t>
      </w:r>
    </w:p>
    <w:p w:rsidR="00CD5074" w:rsidRPr="00F65152" w:rsidRDefault="00DB0ACE" w:rsidP="00DB0ACE">
      <w:pPr>
        <w:autoSpaceDE w:val="0"/>
        <w:autoSpaceDN w:val="0"/>
        <w:adjustRightInd w:val="0"/>
        <w:jc w:val="both"/>
        <w:rPr>
          <w:rFonts w:cs="Arial"/>
          <w:color w:val="000000"/>
          <w:lang w:val="fr-FR"/>
        </w:rPr>
      </w:pPr>
      <w:r w:rsidRPr="00F65152">
        <w:rPr>
          <w:rFonts w:cs="Arial"/>
          <w:color w:val="000000"/>
          <w:lang w:val="fr-FR"/>
        </w:rPr>
        <w:t>•</w:t>
      </w:r>
      <w:r w:rsidRPr="00F65152">
        <w:rPr>
          <w:rFonts w:cs="Arial"/>
          <w:color w:val="000000"/>
          <w:lang w:val="fr-FR"/>
        </w:rPr>
        <w:tab/>
        <w:t>BNP Paribas Abu Dhabi branch</w:t>
      </w:r>
    </w:p>
    <w:p w:rsidR="00CD5074" w:rsidRPr="00F65152" w:rsidRDefault="00CD5074" w:rsidP="00CD5074">
      <w:pPr>
        <w:autoSpaceDE w:val="0"/>
        <w:autoSpaceDN w:val="0"/>
        <w:adjustRightInd w:val="0"/>
        <w:jc w:val="both"/>
        <w:rPr>
          <w:rFonts w:cs="Arial"/>
          <w:color w:val="000000"/>
          <w:lang w:val="fr-FR"/>
        </w:rPr>
      </w:pPr>
    </w:p>
    <w:p w:rsidR="00C645A6" w:rsidRPr="00F65152" w:rsidRDefault="00C645A6" w:rsidP="00D9147B">
      <w:pPr>
        <w:autoSpaceDE w:val="0"/>
        <w:autoSpaceDN w:val="0"/>
        <w:adjustRightInd w:val="0"/>
        <w:jc w:val="both"/>
        <w:rPr>
          <w:rFonts w:cs="Arial"/>
          <w:color w:val="000000"/>
        </w:rPr>
      </w:pPr>
      <w:r w:rsidRPr="00F65152">
        <w:rPr>
          <w:rFonts w:cs="Arial"/>
          <w:color w:val="000000"/>
        </w:rPr>
        <w:t>This report is in respect o</w:t>
      </w:r>
      <w:r w:rsidR="00162D2F" w:rsidRPr="00F65152">
        <w:rPr>
          <w:rFonts w:cs="Arial"/>
          <w:color w:val="000000"/>
        </w:rPr>
        <w:t>f the year ended 31 December 202</w:t>
      </w:r>
      <w:r w:rsidR="00295745" w:rsidRPr="00F65152">
        <w:rPr>
          <w:rFonts w:cs="Arial"/>
          <w:color w:val="000000"/>
        </w:rPr>
        <w:t>1</w:t>
      </w:r>
      <w:r w:rsidRPr="00F65152">
        <w:rPr>
          <w:rFonts w:cs="Arial"/>
          <w:color w:val="000000"/>
        </w:rPr>
        <w:t>, including comparative information (where applicable) for the year ended 31 De</w:t>
      </w:r>
      <w:r w:rsidR="00295745" w:rsidRPr="00F65152">
        <w:rPr>
          <w:rFonts w:cs="Arial"/>
          <w:color w:val="000000"/>
        </w:rPr>
        <w:t>cember 21</w:t>
      </w:r>
      <w:r w:rsidRPr="00F65152">
        <w:rPr>
          <w:rFonts w:cs="Arial"/>
          <w:color w:val="000000"/>
        </w:rPr>
        <w:t>.</w:t>
      </w:r>
    </w:p>
    <w:p w:rsidR="00C645A6" w:rsidRPr="00F65152" w:rsidRDefault="00C645A6" w:rsidP="00CD5074">
      <w:pPr>
        <w:autoSpaceDE w:val="0"/>
        <w:autoSpaceDN w:val="0"/>
        <w:adjustRightInd w:val="0"/>
        <w:jc w:val="both"/>
        <w:rPr>
          <w:rFonts w:cs="Arial"/>
          <w:color w:val="000000"/>
        </w:rPr>
      </w:pPr>
    </w:p>
    <w:p w:rsidR="00CD5074" w:rsidRPr="00F65152" w:rsidRDefault="00CD5074" w:rsidP="00CD5074">
      <w:pPr>
        <w:autoSpaceDE w:val="0"/>
        <w:autoSpaceDN w:val="0"/>
        <w:adjustRightInd w:val="0"/>
        <w:jc w:val="both"/>
        <w:rPr>
          <w:rFonts w:cs="Arial"/>
          <w:color w:val="000000"/>
        </w:rPr>
      </w:pPr>
    </w:p>
    <w:p w:rsidR="00C01F1A" w:rsidRPr="00F65152" w:rsidRDefault="00295745" w:rsidP="00CD5074">
      <w:pPr>
        <w:autoSpaceDE w:val="0"/>
        <w:autoSpaceDN w:val="0"/>
        <w:adjustRightInd w:val="0"/>
        <w:jc w:val="both"/>
        <w:rPr>
          <w:rFonts w:cs="Arial"/>
          <w:b/>
          <w:u w:val="single"/>
        </w:rPr>
      </w:pPr>
      <w:r w:rsidRPr="00F65152">
        <w:rPr>
          <w:rFonts w:cs="Arial"/>
          <w:b/>
          <w:u w:val="single"/>
        </w:rPr>
        <w:t xml:space="preserve">BNP Paribas </w:t>
      </w:r>
      <w:r w:rsidR="00C01F1A" w:rsidRPr="00F65152">
        <w:rPr>
          <w:rFonts w:cs="Arial"/>
          <w:b/>
          <w:u w:val="single"/>
        </w:rPr>
        <w:t>Group disclosures</w:t>
      </w:r>
    </w:p>
    <w:p w:rsidR="00CE2A95" w:rsidRPr="00F65152" w:rsidRDefault="00CE2A95" w:rsidP="00CD5074">
      <w:pPr>
        <w:autoSpaceDE w:val="0"/>
        <w:autoSpaceDN w:val="0"/>
        <w:adjustRightInd w:val="0"/>
        <w:jc w:val="both"/>
        <w:rPr>
          <w:rFonts w:cs="Arial"/>
          <w:b/>
          <w:u w:val="single"/>
        </w:rPr>
      </w:pPr>
    </w:p>
    <w:p w:rsidR="00C01F1A" w:rsidRPr="00F65152" w:rsidRDefault="00295745" w:rsidP="00CD5074">
      <w:pPr>
        <w:autoSpaceDE w:val="0"/>
        <w:autoSpaceDN w:val="0"/>
        <w:adjustRightInd w:val="0"/>
        <w:jc w:val="both"/>
        <w:rPr>
          <w:rFonts w:cs="Arial"/>
          <w:color w:val="000000"/>
        </w:rPr>
      </w:pPr>
      <w:r w:rsidRPr="00F65152">
        <w:rPr>
          <w:rFonts w:cs="Arial"/>
          <w:color w:val="000000"/>
        </w:rPr>
        <w:t xml:space="preserve">BNP Paribas </w:t>
      </w:r>
      <w:r w:rsidR="00C01F1A" w:rsidRPr="00F65152">
        <w:rPr>
          <w:rFonts w:cs="Arial"/>
          <w:color w:val="000000"/>
        </w:rPr>
        <w:t>employs a predominantly centralised approach to risk management throughout the group. As such, BNP Paribas</w:t>
      </w:r>
      <w:r w:rsidR="00AE6A93" w:rsidRPr="00F65152">
        <w:rPr>
          <w:rFonts w:cs="Arial"/>
          <w:color w:val="000000"/>
        </w:rPr>
        <w:t xml:space="preserve"> </w:t>
      </w:r>
      <w:r w:rsidRPr="00F65152">
        <w:rPr>
          <w:rFonts w:cs="Arial"/>
          <w:color w:val="000000"/>
        </w:rPr>
        <w:t>UAE branches’</w:t>
      </w:r>
      <w:r w:rsidR="00C01F1A" w:rsidRPr="00F65152">
        <w:rPr>
          <w:rFonts w:cs="Arial"/>
          <w:color w:val="000000"/>
        </w:rPr>
        <w:t xml:space="preserve"> approach to risk management follows group policies and procedures as a minimum standard. This report should thu</w:t>
      </w:r>
      <w:r w:rsidR="00CE2A95" w:rsidRPr="00F65152">
        <w:rPr>
          <w:rFonts w:cs="Arial"/>
          <w:color w:val="000000"/>
        </w:rPr>
        <w:t>s</w:t>
      </w:r>
      <w:r w:rsidR="00C01F1A" w:rsidRPr="00F65152">
        <w:rPr>
          <w:rFonts w:cs="Arial"/>
          <w:color w:val="000000"/>
        </w:rPr>
        <w:t xml:space="preserve"> be read in conjunction with the group Registration document. Where appropriate this document provides links to the BNP Paribas SA Group Registration document and annual financial report fo</w:t>
      </w:r>
      <w:r w:rsidR="00CE2A95" w:rsidRPr="00F65152">
        <w:rPr>
          <w:rFonts w:cs="Arial"/>
          <w:color w:val="000000"/>
        </w:rPr>
        <w:t>r the year ended 31 December 2021</w:t>
      </w:r>
      <w:r w:rsidR="00C01F1A" w:rsidRPr="00F65152">
        <w:rPr>
          <w:rFonts w:cs="Arial"/>
          <w:color w:val="000000"/>
        </w:rPr>
        <w:t>:</w:t>
      </w:r>
    </w:p>
    <w:p w:rsidR="00C01F1A" w:rsidRPr="00F65152" w:rsidRDefault="00C01F1A" w:rsidP="00CD5074">
      <w:pPr>
        <w:autoSpaceDE w:val="0"/>
        <w:autoSpaceDN w:val="0"/>
        <w:adjustRightInd w:val="0"/>
        <w:jc w:val="both"/>
        <w:rPr>
          <w:rFonts w:cs="Arial"/>
          <w:color w:val="000000"/>
        </w:rPr>
      </w:pPr>
    </w:p>
    <w:p w:rsidR="00C01F1A" w:rsidRPr="00F65152" w:rsidRDefault="00C01F1A" w:rsidP="00C63047">
      <w:pPr>
        <w:autoSpaceDE w:val="0"/>
        <w:autoSpaceDN w:val="0"/>
        <w:adjustRightInd w:val="0"/>
        <w:ind w:left="720"/>
        <w:rPr>
          <w:rFonts w:cs="Arial"/>
          <w:i/>
          <w:color w:val="000000"/>
        </w:rPr>
      </w:pPr>
      <w:r w:rsidRPr="00F65152">
        <w:rPr>
          <w:rFonts w:cs="Arial"/>
          <w:i/>
          <w:color w:val="000000"/>
        </w:rPr>
        <w:t>Group Risk report</w:t>
      </w:r>
      <w:r w:rsidR="00C645A6" w:rsidRPr="00F65152">
        <w:rPr>
          <w:rFonts w:cs="Arial"/>
          <w:i/>
          <w:color w:val="000000"/>
        </w:rPr>
        <w:t>:</w:t>
      </w:r>
    </w:p>
    <w:p w:rsidR="00C01F1A" w:rsidRPr="00F65152" w:rsidRDefault="00C16196" w:rsidP="00C63047">
      <w:pPr>
        <w:autoSpaceDE w:val="0"/>
        <w:autoSpaceDN w:val="0"/>
        <w:adjustRightInd w:val="0"/>
        <w:ind w:left="720"/>
        <w:rPr>
          <w:rFonts w:cs="Arial"/>
          <w:color w:val="00AEF0"/>
        </w:rPr>
      </w:pPr>
      <w:hyperlink r:id="rId9" w:history="1">
        <w:r w:rsidR="00C01F1A" w:rsidRPr="00F65152">
          <w:rPr>
            <w:rStyle w:val="Hyperlink"/>
            <w:rFonts w:cs="Arial"/>
          </w:rPr>
          <w:t>https://invest.bnpparibas.com/en/registration-documents-annual-financial-reports</w:t>
        </w:r>
      </w:hyperlink>
    </w:p>
    <w:p w:rsidR="00C01F1A" w:rsidRPr="00F65152" w:rsidRDefault="00C01F1A" w:rsidP="00C63047">
      <w:pPr>
        <w:autoSpaceDE w:val="0"/>
        <w:autoSpaceDN w:val="0"/>
        <w:adjustRightInd w:val="0"/>
        <w:ind w:left="720"/>
        <w:rPr>
          <w:rFonts w:cs="Arial"/>
          <w:color w:val="00AEF0"/>
        </w:rPr>
      </w:pPr>
    </w:p>
    <w:p w:rsidR="00C01F1A" w:rsidRPr="00F65152" w:rsidRDefault="00C01F1A" w:rsidP="00C63047">
      <w:pPr>
        <w:autoSpaceDE w:val="0"/>
        <w:autoSpaceDN w:val="0"/>
        <w:adjustRightInd w:val="0"/>
        <w:ind w:left="720"/>
        <w:rPr>
          <w:rFonts w:cs="Arial"/>
          <w:i/>
          <w:color w:val="000000"/>
        </w:rPr>
      </w:pPr>
      <w:r w:rsidRPr="00F65152">
        <w:rPr>
          <w:rFonts w:cs="Arial"/>
          <w:i/>
          <w:color w:val="000000"/>
        </w:rPr>
        <w:t>Group Compensation report</w:t>
      </w:r>
      <w:r w:rsidR="00C645A6" w:rsidRPr="00F65152">
        <w:rPr>
          <w:rFonts w:cs="Arial"/>
          <w:i/>
          <w:color w:val="000000"/>
        </w:rPr>
        <w:t>:</w:t>
      </w:r>
    </w:p>
    <w:p w:rsidR="00540606" w:rsidRPr="00F65152" w:rsidRDefault="00C16196" w:rsidP="00C63047">
      <w:pPr>
        <w:autoSpaceDE w:val="0"/>
        <w:autoSpaceDN w:val="0"/>
        <w:adjustRightInd w:val="0"/>
        <w:ind w:left="720"/>
        <w:rPr>
          <w:rStyle w:val="Hyperlink"/>
          <w:rFonts w:cs="Arial"/>
        </w:rPr>
      </w:pPr>
      <w:hyperlink r:id="rId10" w:history="1">
        <w:r w:rsidR="00540606" w:rsidRPr="00F65152">
          <w:rPr>
            <w:rStyle w:val="Hyperlink"/>
            <w:rFonts w:cs="Arial"/>
          </w:rPr>
          <w:t>https://invest.bnpparibas.com/en/compensation-regulated-employees</w:t>
        </w:r>
      </w:hyperlink>
    </w:p>
    <w:p w:rsidR="00C63047" w:rsidRPr="00F65152" w:rsidRDefault="00C63047"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830F1B" w:rsidRPr="00F65152" w:rsidRDefault="00830F1B" w:rsidP="00C63047">
      <w:pPr>
        <w:autoSpaceDE w:val="0"/>
        <w:autoSpaceDN w:val="0"/>
        <w:adjustRightInd w:val="0"/>
        <w:ind w:left="720"/>
        <w:rPr>
          <w:rStyle w:val="Hyperlink"/>
          <w:rFonts w:cs="Arial"/>
        </w:rPr>
      </w:pPr>
    </w:p>
    <w:p w:rsidR="00830F1B" w:rsidRPr="00F65152" w:rsidRDefault="00830F1B"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295745" w:rsidRPr="00F65152" w:rsidRDefault="00295745"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5200E9" w:rsidRPr="00F65152" w:rsidRDefault="005200E9" w:rsidP="00C63047">
      <w:pPr>
        <w:autoSpaceDE w:val="0"/>
        <w:autoSpaceDN w:val="0"/>
        <w:adjustRightInd w:val="0"/>
        <w:ind w:left="720"/>
        <w:rPr>
          <w:rStyle w:val="Hyperlink"/>
          <w:rFonts w:cs="Arial"/>
        </w:rPr>
      </w:pPr>
    </w:p>
    <w:p w:rsidR="00C63047" w:rsidRPr="00F65152" w:rsidRDefault="00C63047" w:rsidP="00C63047">
      <w:pPr>
        <w:autoSpaceDE w:val="0"/>
        <w:autoSpaceDN w:val="0"/>
        <w:adjustRightInd w:val="0"/>
        <w:ind w:left="720"/>
        <w:rPr>
          <w:rStyle w:val="Hyperlink"/>
          <w:rFonts w:cs="Arial"/>
        </w:rPr>
      </w:pPr>
    </w:p>
    <w:p w:rsidR="00C63047" w:rsidRDefault="00C63047" w:rsidP="00C63047">
      <w:pPr>
        <w:autoSpaceDE w:val="0"/>
        <w:autoSpaceDN w:val="0"/>
        <w:adjustRightInd w:val="0"/>
        <w:ind w:left="720"/>
        <w:rPr>
          <w:rStyle w:val="Hyperlink"/>
          <w:rFonts w:cs="Arial"/>
        </w:rPr>
      </w:pPr>
    </w:p>
    <w:p w:rsidR="00AD6F7B" w:rsidRDefault="00AD6F7B" w:rsidP="00C63047">
      <w:pPr>
        <w:autoSpaceDE w:val="0"/>
        <w:autoSpaceDN w:val="0"/>
        <w:adjustRightInd w:val="0"/>
        <w:ind w:left="720"/>
        <w:rPr>
          <w:rStyle w:val="Hyperlink"/>
          <w:rFonts w:cs="Arial"/>
        </w:rPr>
      </w:pPr>
    </w:p>
    <w:p w:rsidR="00AD6F7B" w:rsidRPr="00F65152" w:rsidRDefault="00AD6F7B" w:rsidP="00C63047">
      <w:pPr>
        <w:autoSpaceDE w:val="0"/>
        <w:autoSpaceDN w:val="0"/>
        <w:adjustRightInd w:val="0"/>
        <w:ind w:left="720"/>
        <w:rPr>
          <w:rStyle w:val="Hyperlink"/>
          <w:rFonts w:cs="Arial"/>
        </w:rPr>
      </w:pPr>
    </w:p>
    <w:p w:rsidR="00C63047" w:rsidRPr="00AD6F7B" w:rsidRDefault="00C63047" w:rsidP="00AD6F7B">
      <w:pPr>
        <w:autoSpaceDE w:val="0"/>
        <w:autoSpaceDN w:val="0"/>
        <w:adjustRightInd w:val="0"/>
        <w:rPr>
          <w:b/>
          <w:color w:val="00985F"/>
          <w:sz w:val="32"/>
          <w:szCs w:val="32"/>
        </w:rPr>
      </w:pPr>
    </w:p>
    <w:p w:rsidR="00C01F1A" w:rsidRPr="00893816" w:rsidRDefault="00C01F1A" w:rsidP="00C01F1A">
      <w:pPr>
        <w:pStyle w:val="Heading1"/>
        <w:rPr>
          <w:rFonts w:ascii="BNPP Rounded" w:hAnsi="BNPP Rounded"/>
          <w:b/>
          <w:sz w:val="32"/>
        </w:rPr>
      </w:pPr>
      <w:bookmarkStart w:id="2" w:name="_Toc104282201"/>
      <w:r w:rsidRPr="00893816">
        <w:rPr>
          <w:rFonts w:ascii="BNPP Rounded" w:hAnsi="BNPP Rounded"/>
          <w:b/>
          <w:sz w:val="32"/>
        </w:rPr>
        <w:t>BNP PARIBAS GROUP</w:t>
      </w:r>
      <w:bookmarkEnd w:id="2"/>
    </w:p>
    <w:p w:rsidR="00C01F1A" w:rsidRDefault="00C01F1A" w:rsidP="00C01F1A">
      <w:pPr>
        <w:autoSpaceDE w:val="0"/>
        <w:autoSpaceDN w:val="0"/>
        <w:adjustRightInd w:val="0"/>
        <w:rPr>
          <w:rFonts w:cs="Arial"/>
          <w:color w:val="000000"/>
          <w:sz w:val="32"/>
          <w:szCs w:val="32"/>
        </w:rPr>
      </w:pPr>
    </w:p>
    <w:p w:rsidR="007A59FB" w:rsidRDefault="007A59FB" w:rsidP="007A59FB">
      <w:pPr>
        <w:autoSpaceDE w:val="0"/>
        <w:autoSpaceDN w:val="0"/>
        <w:adjustRightInd w:val="0"/>
        <w:jc w:val="both"/>
        <w:rPr>
          <w:rFonts w:cs="Arial"/>
          <w:color w:val="000000"/>
          <w:szCs w:val="32"/>
        </w:rPr>
      </w:pPr>
      <w:r w:rsidRPr="007A59FB">
        <w:rPr>
          <w:rFonts w:cs="Arial"/>
          <w:color w:val="000000"/>
          <w:szCs w:val="32"/>
        </w:rPr>
        <w:t>BNP Paribas is Europe</w:t>
      </w:r>
      <w:r w:rsidRPr="007A59FB">
        <w:rPr>
          <w:rFonts w:cs="Arial" w:hint="eastAsia"/>
          <w:color w:val="000000"/>
          <w:szCs w:val="32"/>
        </w:rPr>
        <w:t>’</w:t>
      </w:r>
      <w:r w:rsidRPr="007A59FB">
        <w:rPr>
          <w:rFonts w:cs="Arial"/>
          <w:color w:val="000000"/>
          <w:szCs w:val="32"/>
        </w:rPr>
        <w:t>s leading provider of banking and financial services.</w:t>
      </w:r>
      <w:r>
        <w:rPr>
          <w:rFonts w:cs="Arial"/>
          <w:color w:val="000000"/>
          <w:szCs w:val="32"/>
        </w:rPr>
        <w:t xml:space="preserve"> </w:t>
      </w:r>
      <w:r w:rsidRPr="007A59FB">
        <w:rPr>
          <w:rFonts w:cs="Arial"/>
          <w:color w:val="000000"/>
          <w:szCs w:val="32"/>
        </w:rPr>
        <w:t>It operates in 65 countries and employs 189,765 Full-Time Equivalent workforce. It holds key positions in its three main areas of activity:</w:t>
      </w:r>
    </w:p>
    <w:p w:rsidR="007A59FB" w:rsidRPr="007A59FB" w:rsidRDefault="007A59FB" w:rsidP="007A59FB">
      <w:pPr>
        <w:autoSpaceDE w:val="0"/>
        <w:autoSpaceDN w:val="0"/>
        <w:adjustRightInd w:val="0"/>
        <w:jc w:val="both"/>
        <w:rPr>
          <w:rFonts w:cs="Arial"/>
          <w:color w:val="000000"/>
          <w:szCs w:val="32"/>
        </w:rPr>
      </w:pPr>
    </w:p>
    <w:p w:rsidR="007A59FB" w:rsidRPr="007A59FB" w:rsidRDefault="007A59FB" w:rsidP="007A59FB">
      <w:pPr>
        <w:pStyle w:val="ListParagraph"/>
        <w:numPr>
          <w:ilvl w:val="0"/>
          <w:numId w:val="25"/>
        </w:numPr>
        <w:autoSpaceDE w:val="0"/>
        <w:autoSpaceDN w:val="0"/>
        <w:adjustRightInd w:val="0"/>
        <w:jc w:val="both"/>
        <w:rPr>
          <w:rFonts w:cs="Arial"/>
          <w:color w:val="000000"/>
          <w:sz w:val="20"/>
          <w:szCs w:val="32"/>
        </w:rPr>
      </w:pPr>
      <w:r w:rsidRPr="007A59FB">
        <w:rPr>
          <w:rFonts w:cs="Arial"/>
          <w:color w:val="000000"/>
          <w:sz w:val="20"/>
          <w:szCs w:val="32"/>
        </w:rPr>
        <w:t xml:space="preserve">Retail Banking (Retail Banking networks in Europe, Africa and America), </w:t>
      </w:r>
    </w:p>
    <w:p w:rsidR="007A59FB" w:rsidRDefault="007A59FB" w:rsidP="000A45E6">
      <w:pPr>
        <w:pStyle w:val="ListParagraph"/>
        <w:numPr>
          <w:ilvl w:val="0"/>
          <w:numId w:val="25"/>
        </w:numPr>
        <w:autoSpaceDE w:val="0"/>
        <w:autoSpaceDN w:val="0"/>
        <w:adjustRightInd w:val="0"/>
        <w:jc w:val="both"/>
        <w:rPr>
          <w:rFonts w:cs="Arial"/>
          <w:color w:val="000000"/>
          <w:sz w:val="20"/>
          <w:szCs w:val="32"/>
        </w:rPr>
      </w:pPr>
      <w:r w:rsidRPr="007A59FB">
        <w:rPr>
          <w:rFonts w:cs="Arial"/>
          <w:color w:val="000000"/>
          <w:sz w:val="20"/>
          <w:szCs w:val="32"/>
        </w:rPr>
        <w:t xml:space="preserve">Investment &amp; Protection Services (solutions in savings, investment and protection solutions) </w:t>
      </w:r>
    </w:p>
    <w:p w:rsidR="007A59FB" w:rsidRPr="007A59FB" w:rsidRDefault="007A59FB" w:rsidP="000A45E6">
      <w:pPr>
        <w:pStyle w:val="ListParagraph"/>
        <w:numPr>
          <w:ilvl w:val="0"/>
          <w:numId w:val="25"/>
        </w:numPr>
        <w:autoSpaceDE w:val="0"/>
        <w:autoSpaceDN w:val="0"/>
        <w:adjustRightInd w:val="0"/>
        <w:jc w:val="both"/>
        <w:rPr>
          <w:rFonts w:cs="Arial"/>
          <w:color w:val="000000"/>
          <w:sz w:val="20"/>
          <w:szCs w:val="32"/>
        </w:rPr>
      </w:pPr>
      <w:r w:rsidRPr="007A59FB">
        <w:rPr>
          <w:rFonts w:cs="Arial"/>
          <w:color w:val="000000"/>
          <w:sz w:val="20"/>
          <w:szCs w:val="32"/>
        </w:rPr>
        <w:t>Corporate and Institutional Banking (tailored</w:t>
      </w:r>
      <w:r>
        <w:rPr>
          <w:rFonts w:cs="Arial"/>
          <w:color w:val="000000"/>
          <w:sz w:val="20"/>
          <w:szCs w:val="32"/>
        </w:rPr>
        <w:t xml:space="preserve"> </w:t>
      </w:r>
      <w:r w:rsidRPr="007A59FB">
        <w:rPr>
          <w:rFonts w:eastAsia="BNPP Sans Light" w:cs="Arial"/>
          <w:color w:val="000000"/>
          <w:sz w:val="20"/>
          <w:szCs w:val="32"/>
        </w:rPr>
        <w:t>financial solutions for our corporate and institutional clients).</w:t>
      </w:r>
    </w:p>
    <w:p w:rsidR="007A59FB" w:rsidRPr="007A59FB" w:rsidRDefault="007A59FB" w:rsidP="007A59FB">
      <w:pPr>
        <w:autoSpaceDE w:val="0"/>
        <w:autoSpaceDN w:val="0"/>
        <w:adjustRightInd w:val="0"/>
        <w:jc w:val="both"/>
        <w:rPr>
          <w:rFonts w:cs="Arial"/>
          <w:color w:val="000000"/>
          <w:szCs w:val="32"/>
        </w:rPr>
      </w:pPr>
    </w:p>
    <w:p w:rsidR="00C01F1A" w:rsidRDefault="007A59FB" w:rsidP="00CD5074">
      <w:pPr>
        <w:autoSpaceDE w:val="0"/>
        <w:autoSpaceDN w:val="0"/>
        <w:adjustRightInd w:val="0"/>
        <w:jc w:val="both"/>
        <w:rPr>
          <w:rFonts w:cs="Arial"/>
          <w:b/>
          <w:szCs w:val="32"/>
          <w:u w:val="single"/>
        </w:rPr>
      </w:pPr>
      <w:r>
        <w:rPr>
          <w:rFonts w:cs="Arial"/>
          <w:b/>
          <w:szCs w:val="32"/>
          <w:u w:val="single"/>
        </w:rPr>
        <w:t>BNP Paribas UAE branches</w:t>
      </w:r>
      <w:r w:rsidR="00E8236F" w:rsidRPr="00F65152">
        <w:rPr>
          <w:rFonts w:cs="Arial"/>
          <w:b/>
          <w:szCs w:val="32"/>
          <w:u w:val="single"/>
        </w:rPr>
        <w:t>:</w:t>
      </w:r>
    </w:p>
    <w:p w:rsidR="00DC581E" w:rsidRDefault="00DC581E" w:rsidP="00CD5074">
      <w:pPr>
        <w:autoSpaceDE w:val="0"/>
        <w:autoSpaceDN w:val="0"/>
        <w:adjustRightInd w:val="0"/>
        <w:jc w:val="both"/>
        <w:rPr>
          <w:rFonts w:cs="Arial"/>
          <w:b/>
          <w:szCs w:val="32"/>
          <w:u w:val="single"/>
        </w:rPr>
      </w:pPr>
    </w:p>
    <w:p w:rsidR="00DC581E" w:rsidRPr="00DC581E" w:rsidRDefault="00DC581E" w:rsidP="00DC581E">
      <w:pPr>
        <w:autoSpaceDE w:val="0"/>
        <w:autoSpaceDN w:val="0"/>
        <w:adjustRightInd w:val="0"/>
        <w:jc w:val="both"/>
        <w:rPr>
          <w:rFonts w:cs="Arial"/>
          <w:color w:val="000000"/>
          <w:szCs w:val="32"/>
        </w:rPr>
      </w:pPr>
      <w:r w:rsidRPr="00DC581E">
        <w:rPr>
          <w:rFonts w:cs="Arial"/>
          <w:color w:val="000000"/>
          <w:szCs w:val="32"/>
        </w:rPr>
        <w:t>Th</w:t>
      </w:r>
      <w:r>
        <w:rPr>
          <w:rFonts w:cs="Arial"/>
          <w:color w:val="000000"/>
          <w:szCs w:val="32"/>
        </w:rPr>
        <w:t xml:space="preserve">is Pillar III report </w:t>
      </w:r>
      <w:r w:rsidRPr="00DC581E">
        <w:rPr>
          <w:rFonts w:cs="Arial"/>
          <w:color w:val="000000"/>
          <w:szCs w:val="32"/>
        </w:rPr>
        <w:t xml:space="preserve">is </w:t>
      </w:r>
      <w:r>
        <w:rPr>
          <w:rFonts w:cs="Arial"/>
          <w:color w:val="000000"/>
          <w:szCs w:val="32"/>
        </w:rPr>
        <w:t>p</w:t>
      </w:r>
      <w:r w:rsidRPr="00DC581E">
        <w:rPr>
          <w:rFonts w:cs="Arial"/>
          <w:color w:val="000000"/>
          <w:szCs w:val="32"/>
        </w:rPr>
        <w:t>r</w:t>
      </w:r>
      <w:r>
        <w:rPr>
          <w:rFonts w:cs="Arial"/>
          <w:color w:val="000000"/>
          <w:szCs w:val="32"/>
        </w:rPr>
        <w:t xml:space="preserve">epared </w:t>
      </w:r>
      <w:r w:rsidRPr="00DC581E">
        <w:rPr>
          <w:rFonts w:cs="Arial"/>
          <w:color w:val="000000"/>
          <w:szCs w:val="32"/>
        </w:rPr>
        <w:t xml:space="preserve">on a consolidated basis. </w:t>
      </w:r>
      <w:r>
        <w:rPr>
          <w:rFonts w:cs="Arial"/>
          <w:color w:val="000000"/>
          <w:szCs w:val="32"/>
        </w:rPr>
        <w:t xml:space="preserve">The </w:t>
      </w:r>
      <w:r w:rsidRPr="00DC581E">
        <w:rPr>
          <w:rFonts w:cs="Arial"/>
          <w:color w:val="000000"/>
          <w:szCs w:val="32"/>
        </w:rPr>
        <w:t>scope of consolidation is:</w:t>
      </w:r>
    </w:p>
    <w:p w:rsidR="00DC581E" w:rsidRPr="00DC581E" w:rsidRDefault="00DC581E" w:rsidP="00DC581E">
      <w:pPr>
        <w:autoSpaceDE w:val="0"/>
        <w:autoSpaceDN w:val="0"/>
        <w:adjustRightInd w:val="0"/>
        <w:jc w:val="both"/>
        <w:rPr>
          <w:rFonts w:cs="Arial"/>
          <w:color w:val="000000"/>
          <w:szCs w:val="32"/>
        </w:rPr>
      </w:pPr>
    </w:p>
    <w:p w:rsidR="00DC581E" w:rsidRPr="00DC581E" w:rsidRDefault="00DC581E" w:rsidP="00DC581E">
      <w:pPr>
        <w:pStyle w:val="ListParagraph"/>
        <w:numPr>
          <w:ilvl w:val="0"/>
          <w:numId w:val="25"/>
        </w:numPr>
        <w:autoSpaceDE w:val="0"/>
        <w:autoSpaceDN w:val="0"/>
        <w:adjustRightInd w:val="0"/>
        <w:jc w:val="both"/>
        <w:rPr>
          <w:rFonts w:eastAsia="BNPP Sans Light" w:cs="Arial"/>
          <w:color w:val="000000"/>
          <w:sz w:val="20"/>
          <w:szCs w:val="32"/>
          <w:lang w:eastAsia="en-US"/>
        </w:rPr>
      </w:pPr>
      <w:r w:rsidRPr="00DC581E">
        <w:rPr>
          <w:rFonts w:eastAsia="BNPP Sans Light" w:cs="Arial"/>
          <w:color w:val="000000"/>
          <w:sz w:val="20"/>
          <w:szCs w:val="32"/>
          <w:lang w:eastAsia="en-US"/>
        </w:rPr>
        <w:t>BNP Paribas Dubai branch</w:t>
      </w:r>
    </w:p>
    <w:p w:rsidR="00DC581E" w:rsidRDefault="00DC581E" w:rsidP="00DC581E">
      <w:pPr>
        <w:pStyle w:val="ListParagraph"/>
        <w:numPr>
          <w:ilvl w:val="0"/>
          <w:numId w:val="25"/>
        </w:numPr>
        <w:autoSpaceDE w:val="0"/>
        <w:autoSpaceDN w:val="0"/>
        <w:adjustRightInd w:val="0"/>
        <w:jc w:val="both"/>
        <w:rPr>
          <w:rFonts w:eastAsia="BNPP Sans Light" w:cs="Arial"/>
          <w:color w:val="000000"/>
          <w:sz w:val="20"/>
          <w:szCs w:val="32"/>
          <w:lang w:eastAsia="en-US"/>
        </w:rPr>
      </w:pPr>
      <w:r w:rsidRPr="00DC581E">
        <w:rPr>
          <w:rFonts w:eastAsia="BNPP Sans Light" w:cs="Arial"/>
          <w:color w:val="000000"/>
          <w:sz w:val="20"/>
          <w:szCs w:val="32"/>
          <w:lang w:eastAsia="en-US"/>
        </w:rPr>
        <w:t>BNP Paribas Abu Dhabi branch</w:t>
      </w:r>
    </w:p>
    <w:p w:rsidR="00DC581E" w:rsidRPr="00DC581E" w:rsidRDefault="00DC581E" w:rsidP="00DC581E">
      <w:pPr>
        <w:tabs>
          <w:tab w:val="left" w:pos="8160"/>
        </w:tabs>
        <w:ind w:right="-468"/>
        <w:jc w:val="both"/>
        <w:rPr>
          <w:rFonts w:cs="Arial"/>
          <w:color w:val="000000"/>
          <w:szCs w:val="32"/>
        </w:rPr>
      </w:pPr>
      <w:r w:rsidRPr="00DC581E">
        <w:rPr>
          <w:rFonts w:cs="Arial"/>
          <w:color w:val="000000"/>
          <w:szCs w:val="32"/>
        </w:rPr>
        <w:t>BNP Paribas Abu Dhabi and BNP Paribas Dubai are branches of BNP Paribas SA.</w:t>
      </w:r>
    </w:p>
    <w:p w:rsidR="00DC581E" w:rsidRDefault="00DC581E" w:rsidP="00CD5074">
      <w:pPr>
        <w:autoSpaceDE w:val="0"/>
        <w:autoSpaceDN w:val="0"/>
        <w:adjustRightInd w:val="0"/>
        <w:jc w:val="both"/>
        <w:rPr>
          <w:rFonts w:cs="Arial"/>
          <w:color w:val="000000"/>
          <w:szCs w:val="32"/>
        </w:rPr>
      </w:pPr>
    </w:p>
    <w:p w:rsidR="00FE4FCE" w:rsidRDefault="00FE4FCE" w:rsidP="00CD5074">
      <w:pPr>
        <w:autoSpaceDE w:val="0"/>
        <w:autoSpaceDN w:val="0"/>
        <w:adjustRightInd w:val="0"/>
        <w:jc w:val="both"/>
        <w:rPr>
          <w:rFonts w:cs="Arial"/>
          <w:color w:val="000000"/>
          <w:szCs w:val="32"/>
        </w:rPr>
      </w:pPr>
      <w:r w:rsidRPr="00F65152">
        <w:rPr>
          <w:rFonts w:cs="Arial"/>
          <w:color w:val="000000"/>
          <w:szCs w:val="32"/>
        </w:rPr>
        <w:t xml:space="preserve">BNP Paribas Abudhabi branch was set up in </w:t>
      </w:r>
      <w:r w:rsidR="00DC581E">
        <w:rPr>
          <w:rFonts w:cs="Arial"/>
          <w:color w:val="000000"/>
          <w:szCs w:val="32"/>
        </w:rPr>
        <w:t xml:space="preserve">1973 and </w:t>
      </w:r>
      <w:r w:rsidR="009D2550" w:rsidRPr="00F65152">
        <w:rPr>
          <w:rFonts w:cs="Arial"/>
          <w:color w:val="000000"/>
          <w:szCs w:val="32"/>
        </w:rPr>
        <w:t>BNP Paribas branch in Dubai set up a year later in 1</w:t>
      </w:r>
      <w:r w:rsidR="004C2B13">
        <w:rPr>
          <w:rFonts w:cs="Arial"/>
          <w:color w:val="000000"/>
          <w:szCs w:val="32"/>
        </w:rPr>
        <w:t xml:space="preserve">974. </w:t>
      </w:r>
      <w:r w:rsidR="007A59FB">
        <w:rPr>
          <w:rFonts w:cs="Arial"/>
          <w:color w:val="000000"/>
          <w:szCs w:val="32"/>
        </w:rPr>
        <w:t xml:space="preserve"> </w:t>
      </w:r>
      <w:r w:rsidRPr="00F65152">
        <w:rPr>
          <w:rFonts w:cs="Arial"/>
          <w:color w:val="000000"/>
          <w:szCs w:val="32"/>
        </w:rPr>
        <w:t>BNP Paribas UAE branches are licensed by the Central Bank of UAE</w:t>
      </w:r>
      <w:r w:rsidR="004C2B13">
        <w:rPr>
          <w:rFonts w:cs="Arial"/>
          <w:color w:val="000000"/>
          <w:szCs w:val="32"/>
        </w:rPr>
        <w:t>.</w:t>
      </w:r>
    </w:p>
    <w:p w:rsidR="00DC581E" w:rsidRDefault="00DC581E" w:rsidP="00CD5074">
      <w:pPr>
        <w:autoSpaceDE w:val="0"/>
        <w:autoSpaceDN w:val="0"/>
        <w:adjustRightInd w:val="0"/>
        <w:jc w:val="both"/>
        <w:rPr>
          <w:rFonts w:cs="Arial"/>
          <w:color w:val="000000"/>
          <w:szCs w:val="32"/>
        </w:rPr>
      </w:pPr>
    </w:p>
    <w:p w:rsidR="00DC581E" w:rsidRPr="00F65152" w:rsidRDefault="00DC581E" w:rsidP="00DC581E">
      <w:pPr>
        <w:autoSpaceDE w:val="0"/>
        <w:autoSpaceDN w:val="0"/>
        <w:adjustRightInd w:val="0"/>
        <w:jc w:val="both"/>
        <w:rPr>
          <w:rFonts w:cs="Arial"/>
          <w:color w:val="000000"/>
          <w:szCs w:val="32"/>
        </w:rPr>
      </w:pPr>
      <w:r w:rsidRPr="00DC581E">
        <w:rPr>
          <w:rFonts w:cs="Arial"/>
          <w:color w:val="000000"/>
          <w:szCs w:val="32"/>
        </w:rPr>
        <w:t>BNP Paribas UAE branches belong to Corporate and Institutional Banking of BNP Paribas group organisation</w:t>
      </w:r>
    </w:p>
    <w:p w:rsidR="00DC581E" w:rsidRDefault="00DC581E" w:rsidP="00CD5074">
      <w:pPr>
        <w:autoSpaceDE w:val="0"/>
        <w:autoSpaceDN w:val="0"/>
        <w:adjustRightInd w:val="0"/>
        <w:jc w:val="both"/>
        <w:rPr>
          <w:rFonts w:cs="Arial"/>
          <w:color w:val="000000"/>
          <w:szCs w:val="32"/>
        </w:rPr>
      </w:pPr>
    </w:p>
    <w:p w:rsidR="004C2B13" w:rsidRDefault="004C2B13" w:rsidP="00CD5074">
      <w:pPr>
        <w:autoSpaceDE w:val="0"/>
        <w:autoSpaceDN w:val="0"/>
        <w:adjustRightInd w:val="0"/>
        <w:jc w:val="both"/>
        <w:rPr>
          <w:rFonts w:cs="Arial"/>
          <w:color w:val="000000"/>
          <w:szCs w:val="32"/>
        </w:rPr>
      </w:pPr>
    </w:p>
    <w:p w:rsidR="00B66964" w:rsidRDefault="00B66964" w:rsidP="00CD5074">
      <w:pPr>
        <w:autoSpaceDE w:val="0"/>
        <w:autoSpaceDN w:val="0"/>
        <w:adjustRightInd w:val="0"/>
        <w:jc w:val="both"/>
        <w:rPr>
          <w:rFonts w:cs="Arial"/>
          <w:color w:val="000000"/>
          <w:szCs w:val="32"/>
        </w:rPr>
      </w:pPr>
    </w:p>
    <w:p w:rsidR="00B66964" w:rsidRPr="00F65152" w:rsidRDefault="00B66964" w:rsidP="00CD5074">
      <w:pPr>
        <w:autoSpaceDE w:val="0"/>
        <w:autoSpaceDN w:val="0"/>
        <w:adjustRightInd w:val="0"/>
        <w:jc w:val="both"/>
        <w:rPr>
          <w:rFonts w:cs="Arial"/>
          <w:color w:val="000000"/>
          <w:szCs w:val="32"/>
        </w:rPr>
      </w:pPr>
    </w:p>
    <w:p w:rsidR="00FE4FCE" w:rsidRPr="00F65152" w:rsidRDefault="00FE4FCE" w:rsidP="00CD5074">
      <w:pPr>
        <w:autoSpaceDE w:val="0"/>
        <w:autoSpaceDN w:val="0"/>
        <w:adjustRightInd w:val="0"/>
        <w:jc w:val="both"/>
        <w:rPr>
          <w:rFonts w:cs="Arial"/>
          <w:color w:val="000000"/>
          <w:szCs w:val="32"/>
        </w:rPr>
      </w:pPr>
    </w:p>
    <w:p w:rsidR="00FE4FCE" w:rsidRPr="00F65152" w:rsidRDefault="00FE4FCE" w:rsidP="00CD5074">
      <w:pPr>
        <w:autoSpaceDE w:val="0"/>
        <w:autoSpaceDN w:val="0"/>
        <w:adjustRightInd w:val="0"/>
        <w:jc w:val="both"/>
        <w:rPr>
          <w:rFonts w:cs="Arial"/>
          <w:color w:val="000000"/>
          <w:szCs w:val="32"/>
        </w:rPr>
      </w:pPr>
    </w:p>
    <w:p w:rsidR="00FE4FCE" w:rsidRPr="00F65152" w:rsidRDefault="00FE4FCE" w:rsidP="00CD5074">
      <w:pPr>
        <w:autoSpaceDE w:val="0"/>
        <w:autoSpaceDN w:val="0"/>
        <w:adjustRightInd w:val="0"/>
        <w:jc w:val="both"/>
        <w:rPr>
          <w:rFonts w:cs="Arial"/>
          <w:color w:val="000000"/>
          <w:szCs w:val="32"/>
        </w:rPr>
      </w:pPr>
    </w:p>
    <w:p w:rsidR="00FE4FCE" w:rsidRPr="00F65152" w:rsidRDefault="00FE4FCE" w:rsidP="00CD5074">
      <w:pPr>
        <w:autoSpaceDE w:val="0"/>
        <w:autoSpaceDN w:val="0"/>
        <w:adjustRightInd w:val="0"/>
        <w:jc w:val="both"/>
        <w:rPr>
          <w:rFonts w:cs="Arial"/>
          <w:color w:val="000000"/>
          <w:szCs w:val="32"/>
        </w:rPr>
      </w:pPr>
    </w:p>
    <w:p w:rsidR="006A6AD6" w:rsidRPr="00F65152" w:rsidRDefault="006A6AD6" w:rsidP="00CD5074">
      <w:pPr>
        <w:autoSpaceDE w:val="0"/>
        <w:autoSpaceDN w:val="0"/>
        <w:adjustRightInd w:val="0"/>
        <w:jc w:val="both"/>
        <w:rPr>
          <w:rFonts w:cs="Arial"/>
          <w:color w:val="000000"/>
          <w:szCs w:val="32"/>
        </w:rPr>
      </w:pPr>
    </w:p>
    <w:p w:rsidR="006A6AD6" w:rsidRPr="00F65152" w:rsidRDefault="006A6AD6" w:rsidP="00CD5074">
      <w:pPr>
        <w:autoSpaceDE w:val="0"/>
        <w:autoSpaceDN w:val="0"/>
        <w:adjustRightInd w:val="0"/>
        <w:jc w:val="both"/>
        <w:rPr>
          <w:rFonts w:cs="Arial"/>
          <w:color w:val="000000"/>
          <w:szCs w:val="32"/>
        </w:rPr>
      </w:pPr>
    </w:p>
    <w:p w:rsidR="003659F8" w:rsidRPr="00F65152" w:rsidRDefault="003659F8" w:rsidP="00CD5074">
      <w:pPr>
        <w:autoSpaceDE w:val="0"/>
        <w:autoSpaceDN w:val="0"/>
        <w:adjustRightInd w:val="0"/>
        <w:jc w:val="both"/>
        <w:rPr>
          <w:rFonts w:cs="Arial"/>
          <w:color w:val="000000"/>
          <w:szCs w:val="32"/>
        </w:rPr>
      </w:pPr>
    </w:p>
    <w:p w:rsidR="003659F8" w:rsidRPr="00F65152" w:rsidRDefault="003659F8" w:rsidP="00CD5074">
      <w:pPr>
        <w:autoSpaceDE w:val="0"/>
        <w:autoSpaceDN w:val="0"/>
        <w:adjustRightInd w:val="0"/>
        <w:jc w:val="both"/>
        <w:rPr>
          <w:rFonts w:cs="Arial"/>
          <w:color w:val="000000"/>
          <w:szCs w:val="32"/>
        </w:rPr>
      </w:pPr>
    </w:p>
    <w:p w:rsidR="003659F8" w:rsidRDefault="003659F8"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Default="00DC581E" w:rsidP="00CD5074">
      <w:pPr>
        <w:autoSpaceDE w:val="0"/>
        <w:autoSpaceDN w:val="0"/>
        <w:adjustRightInd w:val="0"/>
        <w:jc w:val="both"/>
        <w:rPr>
          <w:rFonts w:cs="Arial"/>
          <w:color w:val="000000"/>
          <w:szCs w:val="32"/>
        </w:rPr>
      </w:pPr>
    </w:p>
    <w:p w:rsidR="00DC581E" w:rsidRPr="00F65152" w:rsidRDefault="00DC581E" w:rsidP="00CD5074">
      <w:pPr>
        <w:autoSpaceDE w:val="0"/>
        <w:autoSpaceDN w:val="0"/>
        <w:adjustRightInd w:val="0"/>
        <w:jc w:val="both"/>
        <w:rPr>
          <w:rFonts w:cs="Arial"/>
          <w:color w:val="000000"/>
          <w:szCs w:val="32"/>
        </w:rPr>
      </w:pPr>
    </w:p>
    <w:p w:rsidR="003659F8" w:rsidRPr="00F65152" w:rsidRDefault="003659F8" w:rsidP="00CD5074">
      <w:pPr>
        <w:autoSpaceDE w:val="0"/>
        <w:autoSpaceDN w:val="0"/>
        <w:adjustRightInd w:val="0"/>
        <w:jc w:val="both"/>
        <w:rPr>
          <w:rFonts w:cs="Arial"/>
          <w:color w:val="000000"/>
          <w:szCs w:val="32"/>
        </w:rPr>
      </w:pPr>
    </w:p>
    <w:p w:rsidR="003659F8" w:rsidRPr="00F65152" w:rsidRDefault="003659F8" w:rsidP="00CD5074">
      <w:pPr>
        <w:autoSpaceDE w:val="0"/>
        <w:autoSpaceDN w:val="0"/>
        <w:adjustRightInd w:val="0"/>
        <w:jc w:val="both"/>
        <w:rPr>
          <w:rFonts w:cs="Arial"/>
          <w:color w:val="000000"/>
          <w:szCs w:val="32"/>
        </w:rPr>
      </w:pPr>
    </w:p>
    <w:p w:rsidR="003659F8" w:rsidRDefault="003659F8" w:rsidP="00CD5074">
      <w:pPr>
        <w:autoSpaceDE w:val="0"/>
        <w:autoSpaceDN w:val="0"/>
        <w:adjustRightInd w:val="0"/>
        <w:jc w:val="both"/>
        <w:rPr>
          <w:rFonts w:cs="Arial"/>
          <w:color w:val="000000"/>
          <w:szCs w:val="32"/>
        </w:rPr>
      </w:pPr>
    </w:p>
    <w:p w:rsidR="00AD6F7B" w:rsidRPr="00F65152" w:rsidRDefault="00AD6F7B" w:rsidP="00CD5074">
      <w:pPr>
        <w:autoSpaceDE w:val="0"/>
        <w:autoSpaceDN w:val="0"/>
        <w:adjustRightInd w:val="0"/>
        <w:jc w:val="both"/>
        <w:rPr>
          <w:rFonts w:cs="Arial"/>
          <w:color w:val="000000"/>
          <w:szCs w:val="32"/>
        </w:rPr>
      </w:pPr>
    </w:p>
    <w:p w:rsidR="00C01F1A" w:rsidRPr="00893816" w:rsidRDefault="00C01F1A" w:rsidP="00C01F1A">
      <w:pPr>
        <w:pStyle w:val="Heading1"/>
        <w:rPr>
          <w:rFonts w:ascii="BNPP Rounded" w:hAnsi="BNPP Rounded"/>
          <w:b/>
          <w:sz w:val="32"/>
        </w:rPr>
      </w:pPr>
      <w:bookmarkStart w:id="3" w:name="_Toc104282202"/>
      <w:r w:rsidRPr="00893816">
        <w:rPr>
          <w:rFonts w:ascii="BNPP Rounded" w:hAnsi="BNPP Rounded"/>
          <w:b/>
          <w:sz w:val="32"/>
        </w:rPr>
        <w:t>FINANCIAL PERFORMANCE</w:t>
      </w:r>
      <w:r w:rsidR="00D4500E" w:rsidRPr="00893816">
        <w:rPr>
          <w:rFonts w:ascii="BNPP Rounded" w:hAnsi="BNPP Rounded"/>
          <w:b/>
          <w:sz w:val="32"/>
        </w:rPr>
        <w:t xml:space="preserve">: year </w:t>
      </w:r>
      <w:r w:rsidR="00FE4FCE" w:rsidRPr="00893816">
        <w:rPr>
          <w:rFonts w:ascii="BNPP Rounded" w:hAnsi="BNPP Rounded"/>
          <w:b/>
          <w:sz w:val="32"/>
        </w:rPr>
        <w:t>2021</w:t>
      </w:r>
      <w:bookmarkEnd w:id="3"/>
    </w:p>
    <w:p w:rsidR="00BB0445" w:rsidRPr="00F65152" w:rsidRDefault="00BB0445" w:rsidP="006A6AD6">
      <w:pPr>
        <w:autoSpaceDE w:val="0"/>
        <w:autoSpaceDN w:val="0"/>
        <w:adjustRightInd w:val="0"/>
        <w:rPr>
          <w:rFonts w:cs="Arial"/>
          <w:b/>
          <w:szCs w:val="32"/>
        </w:rPr>
      </w:pPr>
    </w:p>
    <w:p w:rsidR="006A6AD6" w:rsidRPr="00F65152" w:rsidRDefault="00AD2495" w:rsidP="006A6AD6">
      <w:pPr>
        <w:autoSpaceDE w:val="0"/>
        <w:autoSpaceDN w:val="0"/>
        <w:adjustRightInd w:val="0"/>
        <w:rPr>
          <w:rFonts w:cs="Arial"/>
          <w:b/>
          <w:szCs w:val="32"/>
          <w:u w:val="single"/>
        </w:rPr>
      </w:pPr>
      <w:r w:rsidRPr="00F65152">
        <w:rPr>
          <w:rFonts w:cs="Arial"/>
          <w:b/>
          <w:szCs w:val="32"/>
          <w:u w:val="single"/>
        </w:rPr>
        <w:t>Statement of Financial Position</w:t>
      </w:r>
    </w:p>
    <w:p w:rsidR="006A6AD6" w:rsidRPr="00F65152" w:rsidRDefault="006A6AD6" w:rsidP="006A6AD6">
      <w:pPr>
        <w:autoSpaceDE w:val="0"/>
        <w:autoSpaceDN w:val="0"/>
        <w:adjustRightInd w:val="0"/>
        <w:jc w:val="both"/>
        <w:rPr>
          <w:rFonts w:cs="Arial"/>
          <w:color w:val="000000"/>
          <w:szCs w:val="32"/>
        </w:rPr>
      </w:pPr>
      <w:r w:rsidRPr="00F65152">
        <w:rPr>
          <w:rFonts w:cs="Arial"/>
          <w:color w:val="000000"/>
          <w:szCs w:val="32"/>
        </w:rPr>
        <w:t xml:space="preserve">Below is an extract of </w:t>
      </w:r>
      <w:r w:rsidR="00725719" w:rsidRPr="00F65152">
        <w:rPr>
          <w:rFonts w:cs="Arial"/>
          <w:color w:val="000000"/>
          <w:szCs w:val="32"/>
        </w:rPr>
        <w:t xml:space="preserve">Statement of Financial position </w:t>
      </w:r>
      <w:r w:rsidRPr="00F65152">
        <w:rPr>
          <w:rFonts w:cs="Arial"/>
          <w:color w:val="000000"/>
          <w:szCs w:val="32"/>
        </w:rPr>
        <w:t xml:space="preserve">from the </w:t>
      </w:r>
      <w:r w:rsidR="00B66964">
        <w:rPr>
          <w:rFonts w:cs="Arial"/>
          <w:color w:val="000000"/>
          <w:szCs w:val="32"/>
        </w:rPr>
        <w:t xml:space="preserve">BNP Paribas UAE </w:t>
      </w:r>
      <w:r w:rsidR="00BB0445" w:rsidRPr="00F65152">
        <w:rPr>
          <w:rFonts w:cs="Arial"/>
          <w:color w:val="000000"/>
          <w:szCs w:val="32"/>
        </w:rPr>
        <w:t>Branches’</w:t>
      </w:r>
      <w:r w:rsidRPr="00F65152">
        <w:rPr>
          <w:rFonts w:cs="Arial"/>
          <w:color w:val="000000"/>
          <w:szCs w:val="32"/>
        </w:rPr>
        <w:t xml:space="preserve"> annual financial statements fo</w:t>
      </w:r>
      <w:r w:rsidR="00162D2F" w:rsidRPr="00F65152">
        <w:rPr>
          <w:rFonts w:cs="Arial"/>
          <w:color w:val="000000"/>
          <w:szCs w:val="32"/>
        </w:rPr>
        <w:t>r the year ended 31 December 202</w:t>
      </w:r>
      <w:r w:rsidR="00BB0445" w:rsidRPr="00F65152">
        <w:rPr>
          <w:rFonts w:cs="Arial"/>
          <w:color w:val="000000"/>
          <w:szCs w:val="32"/>
        </w:rPr>
        <w:t>1</w:t>
      </w:r>
      <w:r w:rsidRPr="00F65152">
        <w:rPr>
          <w:rFonts w:cs="Arial"/>
          <w:color w:val="000000"/>
          <w:szCs w:val="32"/>
        </w:rPr>
        <w:t xml:space="preserve"> and comparative</w:t>
      </w:r>
      <w:r w:rsidR="00BB0445" w:rsidRPr="00F65152">
        <w:rPr>
          <w:rFonts w:cs="Arial"/>
          <w:color w:val="000000"/>
          <w:szCs w:val="32"/>
        </w:rPr>
        <w:t xml:space="preserve"> information for 31 December 2020.</w:t>
      </w:r>
    </w:p>
    <w:p w:rsidR="006A6AD6" w:rsidRPr="00F65152" w:rsidRDefault="006A6AD6" w:rsidP="006A6AD6">
      <w:pPr>
        <w:autoSpaceDE w:val="0"/>
        <w:autoSpaceDN w:val="0"/>
        <w:adjustRightInd w:val="0"/>
        <w:rPr>
          <w:rFonts w:cs="Arial"/>
          <w:b/>
          <w:szCs w:val="32"/>
        </w:rPr>
      </w:pPr>
    </w:p>
    <w:p w:rsidR="00187A81" w:rsidRPr="00F65152" w:rsidRDefault="008B06B0" w:rsidP="001E6AC4">
      <w:pPr>
        <w:autoSpaceDE w:val="0"/>
        <w:autoSpaceDN w:val="0"/>
        <w:adjustRightInd w:val="0"/>
        <w:jc w:val="center"/>
        <w:rPr>
          <w:rFonts w:cs="Arial"/>
          <w:color w:val="000000"/>
          <w:szCs w:val="32"/>
        </w:rPr>
      </w:pPr>
      <w:bookmarkStart w:id="4" w:name="_Toc101093849"/>
      <w:r w:rsidRPr="00F65152">
        <w:rPr>
          <w:noProof/>
          <w:lang w:val="en-US" w:eastAsia="ja-JP"/>
        </w:rPr>
        <w:drawing>
          <wp:inline distT="0" distB="0" distL="0" distR="0" wp14:anchorId="500F7FB4" wp14:editId="7DA2F3AE">
            <wp:extent cx="4364521" cy="3148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7196" cy="3150108"/>
                    </a:xfrm>
                    <a:prstGeom prst="rect">
                      <a:avLst/>
                    </a:prstGeom>
                    <a:noFill/>
                    <a:ln>
                      <a:noFill/>
                    </a:ln>
                  </pic:spPr>
                </pic:pic>
              </a:graphicData>
            </a:graphic>
          </wp:inline>
        </w:drawing>
      </w:r>
      <w:bookmarkEnd w:id="4"/>
    </w:p>
    <w:p w:rsidR="00CA729C" w:rsidRPr="00F65152" w:rsidRDefault="00CA729C" w:rsidP="00187A81">
      <w:pPr>
        <w:autoSpaceDE w:val="0"/>
        <w:autoSpaceDN w:val="0"/>
        <w:adjustRightInd w:val="0"/>
        <w:jc w:val="both"/>
        <w:rPr>
          <w:rFonts w:cs="Arial"/>
          <w:b/>
          <w:szCs w:val="32"/>
        </w:rPr>
      </w:pPr>
    </w:p>
    <w:p w:rsidR="00CA729C" w:rsidRPr="00F65152" w:rsidRDefault="00CA729C" w:rsidP="00187A81">
      <w:pPr>
        <w:autoSpaceDE w:val="0"/>
        <w:autoSpaceDN w:val="0"/>
        <w:adjustRightInd w:val="0"/>
        <w:jc w:val="both"/>
        <w:rPr>
          <w:rFonts w:cs="Arial"/>
          <w:b/>
          <w:szCs w:val="32"/>
        </w:rPr>
      </w:pPr>
    </w:p>
    <w:p w:rsidR="00725719" w:rsidRPr="00F65152" w:rsidRDefault="00725719" w:rsidP="006A6AD6">
      <w:pPr>
        <w:autoSpaceDE w:val="0"/>
        <w:autoSpaceDN w:val="0"/>
        <w:adjustRightInd w:val="0"/>
        <w:jc w:val="both"/>
        <w:rPr>
          <w:rFonts w:cs="Arial"/>
          <w:b/>
          <w:szCs w:val="32"/>
        </w:rPr>
      </w:pPr>
    </w:p>
    <w:p w:rsidR="006A6AD6" w:rsidRPr="00F65152" w:rsidRDefault="006A6AD6" w:rsidP="006A6AD6">
      <w:pPr>
        <w:autoSpaceDE w:val="0"/>
        <w:autoSpaceDN w:val="0"/>
        <w:adjustRightInd w:val="0"/>
        <w:jc w:val="both"/>
        <w:rPr>
          <w:b/>
          <w:u w:val="single"/>
        </w:rPr>
      </w:pPr>
      <w:r w:rsidRPr="00F65152">
        <w:rPr>
          <w:rFonts w:cs="Arial"/>
          <w:b/>
          <w:szCs w:val="32"/>
          <w:u w:val="single"/>
        </w:rPr>
        <w:t xml:space="preserve">Statement of Comprehensive Income </w:t>
      </w:r>
    </w:p>
    <w:p w:rsidR="00725719" w:rsidRPr="00F65152" w:rsidRDefault="00725719" w:rsidP="00725719">
      <w:pPr>
        <w:autoSpaceDE w:val="0"/>
        <w:autoSpaceDN w:val="0"/>
        <w:adjustRightInd w:val="0"/>
        <w:jc w:val="both"/>
        <w:rPr>
          <w:rFonts w:cs="Arial"/>
          <w:color w:val="000000"/>
          <w:szCs w:val="32"/>
        </w:rPr>
      </w:pPr>
      <w:r w:rsidRPr="00F65152">
        <w:rPr>
          <w:rFonts w:cs="Arial"/>
          <w:color w:val="000000"/>
          <w:szCs w:val="32"/>
        </w:rPr>
        <w:t>Below is an extract of Statement of Comprehensive Income from the</w:t>
      </w:r>
      <w:r w:rsidR="00B66964">
        <w:rPr>
          <w:rFonts w:cs="Arial"/>
          <w:color w:val="000000"/>
          <w:szCs w:val="32"/>
        </w:rPr>
        <w:t xml:space="preserve"> BNP Paribas UAE</w:t>
      </w:r>
      <w:r w:rsidRPr="00F65152">
        <w:rPr>
          <w:rFonts w:cs="Arial"/>
          <w:color w:val="000000"/>
          <w:szCs w:val="32"/>
        </w:rPr>
        <w:t xml:space="preserve"> Branch’s annual financial statements fo</w:t>
      </w:r>
      <w:r w:rsidR="00162D2F" w:rsidRPr="00F65152">
        <w:rPr>
          <w:rFonts w:cs="Arial"/>
          <w:color w:val="000000"/>
          <w:szCs w:val="32"/>
        </w:rPr>
        <w:t>r the year ended 31 December 202</w:t>
      </w:r>
      <w:r w:rsidR="00E96FE1" w:rsidRPr="00F65152">
        <w:rPr>
          <w:rFonts w:cs="Arial"/>
          <w:color w:val="000000"/>
          <w:szCs w:val="32"/>
        </w:rPr>
        <w:t>1</w:t>
      </w:r>
      <w:r w:rsidRPr="00F65152">
        <w:rPr>
          <w:rFonts w:cs="Arial"/>
          <w:color w:val="000000"/>
          <w:szCs w:val="32"/>
        </w:rPr>
        <w:t xml:space="preserve"> and comparative information for 31 December </w:t>
      </w:r>
      <w:r w:rsidR="00E96FE1" w:rsidRPr="00F65152">
        <w:rPr>
          <w:rFonts w:cs="Arial"/>
          <w:color w:val="000000"/>
          <w:szCs w:val="32"/>
        </w:rPr>
        <w:t>2020</w:t>
      </w:r>
    </w:p>
    <w:p w:rsidR="006A6AD6" w:rsidRPr="00F65152" w:rsidRDefault="006A6AD6" w:rsidP="00187A81">
      <w:pPr>
        <w:autoSpaceDE w:val="0"/>
        <w:autoSpaceDN w:val="0"/>
        <w:adjustRightInd w:val="0"/>
        <w:jc w:val="both"/>
        <w:rPr>
          <w:rFonts w:cs="Arial"/>
          <w:b/>
          <w:szCs w:val="32"/>
        </w:rPr>
      </w:pPr>
    </w:p>
    <w:p w:rsidR="00162D2F" w:rsidRPr="00F65152" w:rsidRDefault="00162D2F" w:rsidP="00187A81">
      <w:pPr>
        <w:autoSpaceDE w:val="0"/>
        <w:autoSpaceDN w:val="0"/>
        <w:adjustRightInd w:val="0"/>
        <w:jc w:val="both"/>
        <w:rPr>
          <w:rFonts w:cs="Arial"/>
          <w:b/>
          <w:szCs w:val="32"/>
        </w:rPr>
      </w:pPr>
    </w:p>
    <w:p w:rsidR="007F3554" w:rsidRPr="00F65152" w:rsidRDefault="009D3D4D" w:rsidP="001E6AC4">
      <w:pPr>
        <w:autoSpaceDE w:val="0"/>
        <w:autoSpaceDN w:val="0"/>
        <w:adjustRightInd w:val="0"/>
        <w:jc w:val="center"/>
        <w:rPr>
          <w:rFonts w:cs="Arial"/>
          <w:color w:val="000000"/>
          <w:szCs w:val="32"/>
          <w:highlight w:val="yellow"/>
        </w:rPr>
      </w:pPr>
      <w:r w:rsidRPr="00F65152">
        <w:rPr>
          <w:noProof/>
          <w:lang w:val="en-US" w:eastAsia="ja-JP"/>
        </w:rPr>
        <w:drawing>
          <wp:inline distT="0" distB="0" distL="0" distR="0">
            <wp:extent cx="4086225" cy="192405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225" cy="1924050"/>
                    </a:xfrm>
                    <a:prstGeom prst="rect">
                      <a:avLst/>
                    </a:prstGeom>
                    <a:noFill/>
                    <a:ln>
                      <a:noFill/>
                    </a:ln>
                  </pic:spPr>
                </pic:pic>
              </a:graphicData>
            </a:graphic>
          </wp:inline>
        </w:drawing>
      </w:r>
    </w:p>
    <w:p w:rsidR="00D4500E" w:rsidRPr="00F65152" w:rsidRDefault="00D4500E" w:rsidP="001E6AC4">
      <w:pPr>
        <w:autoSpaceDE w:val="0"/>
        <w:autoSpaceDN w:val="0"/>
        <w:adjustRightInd w:val="0"/>
        <w:jc w:val="center"/>
        <w:rPr>
          <w:rFonts w:cs="Arial"/>
          <w:color w:val="000000"/>
          <w:szCs w:val="32"/>
          <w:highlight w:val="yellow"/>
          <w:lang w:val="fr-FR"/>
        </w:rPr>
      </w:pPr>
    </w:p>
    <w:p w:rsidR="00D4500E" w:rsidRPr="00F65152" w:rsidRDefault="00D4500E" w:rsidP="001E6AC4">
      <w:pPr>
        <w:autoSpaceDE w:val="0"/>
        <w:autoSpaceDN w:val="0"/>
        <w:adjustRightInd w:val="0"/>
        <w:jc w:val="center"/>
        <w:rPr>
          <w:rFonts w:cs="Arial"/>
          <w:color w:val="000000"/>
          <w:szCs w:val="32"/>
          <w:highlight w:val="yellow"/>
          <w:lang w:val="fr-FR"/>
        </w:rPr>
      </w:pPr>
    </w:p>
    <w:p w:rsidR="00D4500E" w:rsidRPr="00F65152" w:rsidRDefault="00D4500E" w:rsidP="001E6AC4">
      <w:pPr>
        <w:autoSpaceDE w:val="0"/>
        <w:autoSpaceDN w:val="0"/>
        <w:adjustRightInd w:val="0"/>
        <w:jc w:val="center"/>
        <w:rPr>
          <w:rFonts w:cs="Arial"/>
          <w:color w:val="000000"/>
          <w:szCs w:val="32"/>
          <w:highlight w:val="yellow"/>
          <w:lang w:val="fr-FR"/>
        </w:rPr>
      </w:pPr>
    </w:p>
    <w:p w:rsidR="00D4500E" w:rsidRPr="00F65152" w:rsidRDefault="00D4500E" w:rsidP="001E6AC4">
      <w:pPr>
        <w:autoSpaceDE w:val="0"/>
        <w:autoSpaceDN w:val="0"/>
        <w:adjustRightInd w:val="0"/>
        <w:jc w:val="center"/>
        <w:rPr>
          <w:rFonts w:cs="Arial"/>
          <w:color w:val="000000"/>
          <w:szCs w:val="32"/>
          <w:highlight w:val="yellow"/>
          <w:lang w:val="fr-FR"/>
        </w:rPr>
      </w:pPr>
    </w:p>
    <w:p w:rsidR="00BE3F17" w:rsidRPr="00F65152" w:rsidRDefault="00BE3F17" w:rsidP="001E6AC4">
      <w:pPr>
        <w:autoSpaceDE w:val="0"/>
        <w:autoSpaceDN w:val="0"/>
        <w:adjustRightInd w:val="0"/>
        <w:jc w:val="center"/>
        <w:rPr>
          <w:rFonts w:cs="Arial"/>
          <w:color w:val="000000"/>
          <w:szCs w:val="32"/>
          <w:highlight w:val="yellow"/>
          <w:lang w:val="fr-FR"/>
        </w:rPr>
      </w:pPr>
    </w:p>
    <w:p w:rsidR="00C01F1A" w:rsidRPr="00893816" w:rsidRDefault="00C01F1A" w:rsidP="00C01F1A">
      <w:pPr>
        <w:pStyle w:val="Heading1"/>
        <w:rPr>
          <w:rFonts w:ascii="BNPP Rounded" w:hAnsi="BNPP Rounded"/>
          <w:b/>
          <w:sz w:val="32"/>
        </w:rPr>
      </w:pPr>
      <w:bookmarkStart w:id="5" w:name="_Toc104282203"/>
      <w:r w:rsidRPr="00893816">
        <w:rPr>
          <w:rFonts w:ascii="BNPP Rounded" w:hAnsi="BNPP Rounded"/>
          <w:b/>
          <w:sz w:val="32"/>
        </w:rPr>
        <w:t>CAPITAL COMPOSITION</w:t>
      </w:r>
      <w:bookmarkEnd w:id="5"/>
    </w:p>
    <w:p w:rsidR="00C01F1A" w:rsidRPr="00F65152" w:rsidRDefault="00C01F1A" w:rsidP="00C01F1A">
      <w:pPr>
        <w:autoSpaceDE w:val="0"/>
        <w:autoSpaceDN w:val="0"/>
        <w:adjustRightInd w:val="0"/>
        <w:rPr>
          <w:rFonts w:cs="Arial"/>
          <w:color w:val="000000"/>
          <w:szCs w:val="32"/>
          <w:lang w:val="en-US"/>
        </w:rPr>
      </w:pPr>
    </w:p>
    <w:p w:rsidR="00C01F1A" w:rsidRPr="00F65152" w:rsidRDefault="00E96FE1" w:rsidP="002C2EC3">
      <w:pPr>
        <w:autoSpaceDE w:val="0"/>
        <w:autoSpaceDN w:val="0"/>
        <w:adjustRightInd w:val="0"/>
        <w:jc w:val="both"/>
        <w:rPr>
          <w:rFonts w:cs="Arial"/>
          <w:color w:val="000000"/>
          <w:szCs w:val="32"/>
        </w:rPr>
      </w:pPr>
      <w:r w:rsidRPr="00F65152">
        <w:rPr>
          <w:rFonts w:cs="Arial"/>
          <w:color w:val="000000"/>
          <w:szCs w:val="32"/>
          <w:lang w:val="en-US"/>
        </w:rPr>
        <w:t xml:space="preserve">BNP Paribas UAE branches </w:t>
      </w:r>
      <w:r w:rsidR="00C01F1A" w:rsidRPr="00F65152">
        <w:rPr>
          <w:rFonts w:cs="Arial"/>
          <w:color w:val="000000"/>
          <w:szCs w:val="32"/>
        </w:rPr>
        <w:t xml:space="preserve">has complied with all </w:t>
      </w:r>
      <w:r w:rsidR="005250C2" w:rsidRPr="00F65152">
        <w:rPr>
          <w:rFonts w:cs="Arial"/>
          <w:color w:val="000000"/>
          <w:szCs w:val="32"/>
        </w:rPr>
        <w:t>the regulatory requirements in relation to capital.</w:t>
      </w:r>
      <w:r w:rsidR="009E0379" w:rsidRPr="00F65152">
        <w:rPr>
          <w:rFonts w:cs="Arial"/>
          <w:color w:val="000000"/>
          <w:szCs w:val="32"/>
        </w:rPr>
        <w:t xml:space="preserve"> </w:t>
      </w:r>
      <w:r w:rsidR="00C01F1A" w:rsidRPr="00F65152">
        <w:rPr>
          <w:rFonts w:cs="Arial"/>
          <w:color w:val="000000"/>
          <w:szCs w:val="32"/>
        </w:rPr>
        <w:t xml:space="preserve">The Branch’s regulatory capital is analysed into </w:t>
      </w:r>
      <w:r w:rsidR="00AF3F6D" w:rsidRPr="00F65152">
        <w:rPr>
          <w:rFonts w:cs="Arial"/>
          <w:color w:val="000000"/>
          <w:szCs w:val="32"/>
        </w:rPr>
        <w:t xml:space="preserve">one </w:t>
      </w:r>
      <w:r w:rsidR="00C01F1A" w:rsidRPr="00F65152">
        <w:rPr>
          <w:rFonts w:cs="Arial"/>
          <w:color w:val="000000"/>
          <w:szCs w:val="32"/>
        </w:rPr>
        <w:t>tier:</w:t>
      </w:r>
    </w:p>
    <w:p w:rsidR="00C01F1A" w:rsidRPr="00F65152" w:rsidRDefault="00C01F1A" w:rsidP="002C2EC3">
      <w:pPr>
        <w:autoSpaceDE w:val="0"/>
        <w:autoSpaceDN w:val="0"/>
        <w:adjustRightInd w:val="0"/>
        <w:jc w:val="both"/>
        <w:rPr>
          <w:rFonts w:cs="Arial"/>
          <w:color w:val="000000"/>
          <w:szCs w:val="32"/>
        </w:rPr>
      </w:pPr>
    </w:p>
    <w:p w:rsidR="00C01F1A" w:rsidRPr="00F65152" w:rsidRDefault="00C01F1A" w:rsidP="005250C2">
      <w:pPr>
        <w:pStyle w:val="ListParagraph"/>
        <w:numPr>
          <w:ilvl w:val="0"/>
          <w:numId w:val="18"/>
        </w:numPr>
        <w:autoSpaceDE w:val="0"/>
        <w:autoSpaceDN w:val="0"/>
        <w:adjustRightInd w:val="0"/>
        <w:spacing w:after="0" w:line="240" w:lineRule="auto"/>
        <w:ind w:left="900"/>
        <w:jc w:val="both"/>
        <w:rPr>
          <w:rFonts w:cs="Arial"/>
          <w:color w:val="000000"/>
          <w:sz w:val="20"/>
          <w:szCs w:val="32"/>
        </w:rPr>
      </w:pPr>
      <w:r w:rsidRPr="00F65152">
        <w:rPr>
          <w:rFonts w:cs="Arial"/>
          <w:color w:val="000000"/>
          <w:sz w:val="20"/>
          <w:szCs w:val="32"/>
        </w:rPr>
        <w:t xml:space="preserve">Tier 1 capital, which includes paid up capital, retained earnings, other reserves and comprehensive income after </w:t>
      </w:r>
      <w:r w:rsidR="000D1653" w:rsidRPr="00F65152">
        <w:rPr>
          <w:rFonts w:cs="Arial"/>
          <w:color w:val="000000"/>
          <w:sz w:val="20"/>
          <w:szCs w:val="32"/>
        </w:rPr>
        <w:t xml:space="preserve">any </w:t>
      </w:r>
      <w:r w:rsidRPr="00F65152">
        <w:rPr>
          <w:rFonts w:cs="Arial"/>
          <w:color w:val="000000"/>
          <w:sz w:val="20"/>
          <w:szCs w:val="32"/>
        </w:rPr>
        <w:t>regulatory adjustments</w:t>
      </w:r>
      <w:r w:rsidR="000D1653" w:rsidRPr="00F65152">
        <w:rPr>
          <w:rFonts w:cs="Arial"/>
          <w:color w:val="000000"/>
          <w:sz w:val="20"/>
          <w:szCs w:val="32"/>
        </w:rPr>
        <w:t xml:space="preserve"> that are required</w:t>
      </w:r>
      <w:r w:rsidRPr="00F65152">
        <w:rPr>
          <w:rFonts w:cs="Arial"/>
          <w:color w:val="000000"/>
          <w:sz w:val="20"/>
          <w:szCs w:val="32"/>
        </w:rPr>
        <w:t xml:space="preserve"> for capital adequacy purposes.</w:t>
      </w:r>
    </w:p>
    <w:p w:rsidR="003F6F3A" w:rsidRPr="00F65152" w:rsidRDefault="003F6F3A" w:rsidP="003F6F3A">
      <w:pPr>
        <w:pStyle w:val="ListParagraph"/>
        <w:autoSpaceDE w:val="0"/>
        <w:autoSpaceDN w:val="0"/>
        <w:adjustRightInd w:val="0"/>
        <w:spacing w:after="0" w:line="240" w:lineRule="auto"/>
        <w:ind w:left="900"/>
        <w:jc w:val="both"/>
        <w:rPr>
          <w:rFonts w:cs="Arial"/>
          <w:color w:val="000000"/>
          <w:sz w:val="20"/>
          <w:szCs w:val="32"/>
        </w:rPr>
      </w:pPr>
    </w:p>
    <w:p w:rsidR="00C01F1A" w:rsidRPr="00B66964" w:rsidRDefault="004928CE" w:rsidP="00AA2393">
      <w:pPr>
        <w:pStyle w:val="ListParagraph"/>
        <w:numPr>
          <w:ilvl w:val="0"/>
          <w:numId w:val="18"/>
        </w:numPr>
        <w:autoSpaceDE w:val="0"/>
        <w:autoSpaceDN w:val="0"/>
        <w:adjustRightInd w:val="0"/>
        <w:spacing w:after="0" w:line="240" w:lineRule="auto"/>
        <w:ind w:left="900"/>
        <w:jc w:val="both"/>
        <w:rPr>
          <w:rFonts w:cs="Arial"/>
          <w:color w:val="000000"/>
          <w:szCs w:val="32"/>
        </w:rPr>
      </w:pPr>
      <w:r w:rsidRPr="00B66964">
        <w:rPr>
          <w:rFonts w:cs="Arial"/>
          <w:color w:val="000000"/>
          <w:sz w:val="20"/>
          <w:szCs w:val="32"/>
        </w:rPr>
        <w:t xml:space="preserve">Tier 2 capital which includes </w:t>
      </w:r>
      <w:r w:rsidR="003F6F3A" w:rsidRPr="00B66964">
        <w:rPr>
          <w:rFonts w:cs="Arial"/>
          <w:color w:val="000000"/>
          <w:sz w:val="20"/>
          <w:szCs w:val="32"/>
        </w:rPr>
        <w:t xml:space="preserve">eligible </w:t>
      </w:r>
      <w:r w:rsidRPr="00B66964">
        <w:rPr>
          <w:rFonts w:cs="Arial"/>
          <w:color w:val="000000"/>
          <w:sz w:val="20"/>
          <w:szCs w:val="32"/>
        </w:rPr>
        <w:t xml:space="preserve">general provisions as required by Central </w:t>
      </w:r>
      <w:r w:rsidR="00B66964" w:rsidRPr="00B66964">
        <w:rPr>
          <w:rFonts w:cs="Arial"/>
          <w:color w:val="000000"/>
          <w:sz w:val="20"/>
          <w:szCs w:val="32"/>
        </w:rPr>
        <w:t>bank of UAE</w:t>
      </w:r>
      <w:r w:rsidR="00B66964">
        <w:rPr>
          <w:rFonts w:cs="Arial"/>
          <w:color w:val="000000"/>
          <w:sz w:val="20"/>
          <w:szCs w:val="32"/>
        </w:rPr>
        <w:t>.</w:t>
      </w:r>
    </w:p>
    <w:p w:rsidR="00B66964" w:rsidRPr="00B66964" w:rsidRDefault="00B66964" w:rsidP="00B66964">
      <w:pPr>
        <w:pStyle w:val="ListParagraph"/>
        <w:rPr>
          <w:rFonts w:cs="Arial"/>
          <w:color w:val="000000"/>
          <w:szCs w:val="32"/>
        </w:rPr>
      </w:pPr>
    </w:p>
    <w:p w:rsidR="008C207B" w:rsidRPr="00F65152" w:rsidRDefault="009D2550" w:rsidP="002C2EC3">
      <w:pPr>
        <w:autoSpaceDE w:val="0"/>
        <w:autoSpaceDN w:val="0"/>
        <w:adjustRightInd w:val="0"/>
        <w:jc w:val="both"/>
        <w:rPr>
          <w:rFonts w:cs="Arial"/>
          <w:color w:val="000000"/>
          <w:szCs w:val="32"/>
        </w:rPr>
      </w:pPr>
      <w:r w:rsidRPr="00F65152">
        <w:rPr>
          <w:rFonts w:cs="Arial"/>
          <w:color w:val="000000"/>
          <w:szCs w:val="32"/>
        </w:rPr>
        <w:t>As of 31 Dec 2021</w:t>
      </w:r>
      <w:r w:rsidR="008C207B" w:rsidRPr="00F65152">
        <w:rPr>
          <w:rFonts w:cs="Arial"/>
          <w:color w:val="000000"/>
          <w:szCs w:val="32"/>
        </w:rPr>
        <w:t>, the branch’s regulatory capital is as follows:</w:t>
      </w:r>
    </w:p>
    <w:p w:rsidR="008C207B" w:rsidRPr="00F65152" w:rsidRDefault="008C207B" w:rsidP="002C2EC3">
      <w:pPr>
        <w:autoSpaceDE w:val="0"/>
        <w:autoSpaceDN w:val="0"/>
        <w:adjustRightInd w:val="0"/>
        <w:jc w:val="both"/>
        <w:rPr>
          <w:rFonts w:cs="Arial"/>
          <w:color w:val="000000"/>
          <w:szCs w:val="32"/>
        </w:rPr>
      </w:pPr>
    </w:p>
    <w:p w:rsidR="008C207B" w:rsidRPr="00F65152" w:rsidRDefault="008B06B0" w:rsidP="008C207B">
      <w:pPr>
        <w:autoSpaceDE w:val="0"/>
        <w:autoSpaceDN w:val="0"/>
        <w:adjustRightInd w:val="0"/>
        <w:jc w:val="center"/>
        <w:rPr>
          <w:rFonts w:cs="Arial"/>
          <w:color w:val="000000"/>
          <w:szCs w:val="32"/>
        </w:rPr>
      </w:pPr>
      <w:r w:rsidRPr="00F65152">
        <w:rPr>
          <w:noProof/>
          <w:lang w:val="en-US" w:eastAsia="ja-JP"/>
        </w:rPr>
        <w:drawing>
          <wp:inline distT="0" distB="0" distL="0" distR="0">
            <wp:extent cx="3808730" cy="228981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8730" cy="2289810"/>
                    </a:xfrm>
                    <a:prstGeom prst="rect">
                      <a:avLst/>
                    </a:prstGeom>
                    <a:noFill/>
                    <a:ln>
                      <a:noFill/>
                    </a:ln>
                  </pic:spPr>
                </pic:pic>
              </a:graphicData>
            </a:graphic>
          </wp:inline>
        </w:drawing>
      </w:r>
    </w:p>
    <w:p w:rsidR="008C207B" w:rsidRPr="00F65152" w:rsidRDefault="008C207B" w:rsidP="002C2EC3">
      <w:pPr>
        <w:autoSpaceDE w:val="0"/>
        <w:autoSpaceDN w:val="0"/>
        <w:adjustRightInd w:val="0"/>
        <w:jc w:val="both"/>
        <w:rPr>
          <w:rFonts w:cs="Arial"/>
          <w:color w:val="000000"/>
          <w:szCs w:val="32"/>
        </w:rPr>
      </w:pPr>
    </w:p>
    <w:p w:rsidR="009D3D4D" w:rsidRPr="00F65152" w:rsidRDefault="009D3D4D" w:rsidP="00C01F1A">
      <w:pPr>
        <w:autoSpaceDE w:val="0"/>
        <w:autoSpaceDN w:val="0"/>
        <w:adjustRightInd w:val="0"/>
        <w:rPr>
          <w:rFonts w:cs="Arial"/>
          <w:b/>
          <w:color w:val="00985F"/>
          <w:szCs w:val="32"/>
        </w:rPr>
      </w:pPr>
    </w:p>
    <w:p w:rsidR="008B06B0" w:rsidRPr="00F65152" w:rsidRDefault="008B06B0" w:rsidP="00C01F1A">
      <w:pPr>
        <w:autoSpaceDE w:val="0"/>
        <w:autoSpaceDN w:val="0"/>
        <w:adjustRightInd w:val="0"/>
        <w:rPr>
          <w:rFonts w:cs="Arial"/>
          <w:b/>
          <w:color w:val="00985F"/>
          <w:szCs w:val="32"/>
        </w:rPr>
      </w:pPr>
    </w:p>
    <w:p w:rsidR="00C01F1A" w:rsidRPr="00F65152" w:rsidRDefault="00C01F1A" w:rsidP="00C01F1A">
      <w:pPr>
        <w:autoSpaceDE w:val="0"/>
        <w:autoSpaceDN w:val="0"/>
        <w:adjustRightInd w:val="0"/>
        <w:rPr>
          <w:rFonts w:cs="Arial"/>
          <w:b/>
          <w:color w:val="00985F"/>
          <w:szCs w:val="32"/>
        </w:rPr>
      </w:pPr>
      <w:r w:rsidRPr="00F65152">
        <w:rPr>
          <w:rFonts w:cs="Arial"/>
          <w:b/>
          <w:color w:val="000000" w:themeColor="text1"/>
          <w:szCs w:val="32"/>
        </w:rPr>
        <w:t>Pillar I risk-weighted assets and capital requirements</w:t>
      </w:r>
    </w:p>
    <w:p w:rsidR="00AA2544" w:rsidRPr="00F65152" w:rsidRDefault="009E0379" w:rsidP="009E0379">
      <w:pPr>
        <w:autoSpaceDE w:val="0"/>
        <w:autoSpaceDN w:val="0"/>
        <w:adjustRightInd w:val="0"/>
        <w:jc w:val="both"/>
        <w:rPr>
          <w:rFonts w:cs="Arial"/>
          <w:color w:val="000000"/>
          <w:szCs w:val="32"/>
        </w:rPr>
      </w:pPr>
      <w:r w:rsidRPr="00F65152">
        <w:t xml:space="preserve">Below are the risk-weighted assets (“RWA”) and capital </w:t>
      </w:r>
      <w:r w:rsidR="00AA2544" w:rsidRPr="00F65152">
        <w:t>ratio</w:t>
      </w:r>
      <w:r w:rsidR="008C207B" w:rsidRPr="00F65152">
        <w:t xml:space="preserve"> as at 31 December 202</w:t>
      </w:r>
      <w:r w:rsidR="00BE3F17" w:rsidRPr="00F65152">
        <w:t>1</w:t>
      </w:r>
      <w:r w:rsidRPr="00F65152">
        <w:t>:</w:t>
      </w:r>
      <w:r w:rsidR="00AA2544" w:rsidRPr="00F65152">
        <w:t xml:space="preserve"> </w:t>
      </w:r>
    </w:p>
    <w:p w:rsidR="008B06B0" w:rsidRPr="00F65152" w:rsidRDefault="008B06B0" w:rsidP="00AA2544">
      <w:pPr>
        <w:autoSpaceDE w:val="0"/>
        <w:autoSpaceDN w:val="0"/>
        <w:adjustRightInd w:val="0"/>
        <w:jc w:val="center"/>
        <w:rPr>
          <w:rFonts w:cs="Arial"/>
          <w:color w:val="000000"/>
          <w:szCs w:val="32"/>
        </w:rPr>
      </w:pPr>
    </w:p>
    <w:p w:rsidR="00AA2544" w:rsidRPr="00F65152" w:rsidRDefault="008B06B0" w:rsidP="00AA2544">
      <w:pPr>
        <w:autoSpaceDE w:val="0"/>
        <w:autoSpaceDN w:val="0"/>
        <w:adjustRightInd w:val="0"/>
        <w:jc w:val="center"/>
        <w:rPr>
          <w:rFonts w:cs="Arial"/>
          <w:color w:val="000000"/>
          <w:szCs w:val="32"/>
        </w:rPr>
      </w:pPr>
      <w:r w:rsidRPr="00F65152">
        <w:rPr>
          <w:noProof/>
          <w:lang w:val="en-US" w:eastAsia="ja-JP"/>
        </w:rPr>
        <w:drawing>
          <wp:inline distT="0" distB="0" distL="0" distR="0">
            <wp:extent cx="4158615" cy="15741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8615" cy="1574165"/>
                    </a:xfrm>
                    <a:prstGeom prst="rect">
                      <a:avLst/>
                    </a:prstGeom>
                    <a:noFill/>
                    <a:ln>
                      <a:noFill/>
                    </a:ln>
                  </pic:spPr>
                </pic:pic>
              </a:graphicData>
            </a:graphic>
          </wp:inline>
        </w:drawing>
      </w:r>
    </w:p>
    <w:p w:rsidR="008B06B0" w:rsidRPr="00F65152" w:rsidRDefault="008B06B0" w:rsidP="00AA2544">
      <w:pPr>
        <w:autoSpaceDE w:val="0"/>
        <w:autoSpaceDN w:val="0"/>
        <w:adjustRightInd w:val="0"/>
        <w:jc w:val="center"/>
        <w:rPr>
          <w:rFonts w:cs="Arial"/>
          <w:color w:val="000000"/>
          <w:szCs w:val="32"/>
        </w:rPr>
      </w:pPr>
    </w:p>
    <w:p w:rsidR="008B06B0" w:rsidRPr="00F65152" w:rsidRDefault="008B06B0" w:rsidP="00AA2544">
      <w:pPr>
        <w:autoSpaceDE w:val="0"/>
        <w:autoSpaceDN w:val="0"/>
        <w:adjustRightInd w:val="0"/>
        <w:jc w:val="center"/>
        <w:rPr>
          <w:rFonts w:cs="Arial"/>
          <w:color w:val="000000"/>
          <w:szCs w:val="32"/>
        </w:rPr>
      </w:pPr>
    </w:p>
    <w:p w:rsidR="008B06B0" w:rsidRPr="00F65152" w:rsidRDefault="008B06B0" w:rsidP="00AA2544">
      <w:pPr>
        <w:autoSpaceDE w:val="0"/>
        <w:autoSpaceDN w:val="0"/>
        <w:adjustRightInd w:val="0"/>
        <w:jc w:val="center"/>
        <w:rPr>
          <w:rFonts w:cs="Arial"/>
          <w:color w:val="000000"/>
          <w:szCs w:val="32"/>
        </w:rPr>
      </w:pPr>
    </w:p>
    <w:p w:rsidR="008B06B0" w:rsidRPr="00F65152" w:rsidRDefault="008B06B0" w:rsidP="00AA2544">
      <w:pPr>
        <w:autoSpaceDE w:val="0"/>
        <w:autoSpaceDN w:val="0"/>
        <w:adjustRightInd w:val="0"/>
        <w:jc w:val="center"/>
        <w:rPr>
          <w:rFonts w:cs="Arial"/>
          <w:color w:val="000000"/>
          <w:szCs w:val="32"/>
        </w:rPr>
      </w:pPr>
    </w:p>
    <w:p w:rsidR="008B06B0" w:rsidRPr="00F65152" w:rsidRDefault="008B06B0" w:rsidP="00AA2544">
      <w:pPr>
        <w:autoSpaceDE w:val="0"/>
        <w:autoSpaceDN w:val="0"/>
        <w:adjustRightInd w:val="0"/>
        <w:jc w:val="center"/>
        <w:rPr>
          <w:rFonts w:cs="Arial"/>
          <w:color w:val="000000"/>
          <w:szCs w:val="32"/>
        </w:rPr>
      </w:pPr>
    </w:p>
    <w:p w:rsidR="008B06B0" w:rsidRPr="00F65152" w:rsidRDefault="008B06B0" w:rsidP="00AA2544">
      <w:pPr>
        <w:autoSpaceDE w:val="0"/>
        <w:autoSpaceDN w:val="0"/>
        <w:adjustRightInd w:val="0"/>
        <w:jc w:val="center"/>
        <w:rPr>
          <w:rFonts w:cs="Arial"/>
          <w:color w:val="000000"/>
          <w:szCs w:val="32"/>
        </w:rPr>
      </w:pPr>
    </w:p>
    <w:p w:rsidR="003834E2" w:rsidRPr="00F65152" w:rsidRDefault="003834E2" w:rsidP="00AA2544">
      <w:pPr>
        <w:autoSpaceDE w:val="0"/>
        <w:autoSpaceDN w:val="0"/>
        <w:adjustRightInd w:val="0"/>
        <w:jc w:val="center"/>
        <w:rPr>
          <w:rFonts w:cs="Arial"/>
          <w:color w:val="000000"/>
          <w:szCs w:val="32"/>
        </w:rPr>
      </w:pPr>
    </w:p>
    <w:p w:rsidR="00C01F1A" w:rsidRPr="00893816" w:rsidRDefault="00C01F1A" w:rsidP="00C01F1A">
      <w:pPr>
        <w:pStyle w:val="Heading1"/>
        <w:rPr>
          <w:rFonts w:ascii="BNPP Rounded" w:hAnsi="BNPP Rounded"/>
          <w:b/>
          <w:sz w:val="32"/>
        </w:rPr>
      </w:pPr>
      <w:bookmarkStart w:id="6" w:name="_Toc104282204"/>
      <w:r w:rsidRPr="00893816">
        <w:rPr>
          <w:rFonts w:ascii="BNPP Rounded" w:hAnsi="BNPP Rounded"/>
          <w:b/>
          <w:sz w:val="32"/>
        </w:rPr>
        <w:lastRenderedPageBreak/>
        <w:t xml:space="preserve">CAPITAL </w:t>
      </w:r>
      <w:r w:rsidR="007D555C" w:rsidRPr="00893816">
        <w:rPr>
          <w:rFonts w:ascii="BNPP Rounded" w:hAnsi="BNPP Rounded"/>
          <w:b/>
          <w:sz w:val="32"/>
        </w:rPr>
        <w:t>MANAGEMENT</w:t>
      </w:r>
      <w:bookmarkEnd w:id="6"/>
    </w:p>
    <w:p w:rsidR="00C01F1A" w:rsidRPr="00F65152" w:rsidRDefault="00C01F1A" w:rsidP="00C01F1A">
      <w:pPr>
        <w:autoSpaceDE w:val="0"/>
        <w:autoSpaceDN w:val="0"/>
        <w:adjustRightInd w:val="0"/>
        <w:rPr>
          <w:rFonts w:cs="Arial"/>
          <w:color w:val="000000"/>
          <w:szCs w:val="32"/>
        </w:rPr>
      </w:pPr>
    </w:p>
    <w:p w:rsidR="00FC2A74" w:rsidRPr="00F65152" w:rsidRDefault="00FC2A74" w:rsidP="009E0379">
      <w:pPr>
        <w:autoSpaceDE w:val="0"/>
        <w:autoSpaceDN w:val="0"/>
        <w:adjustRightInd w:val="0"/>
        <w:jc w:val="both"/>
      </w:pPr>
      <w:r w:rsidRPr="00F65152">
        <w:t xml:space="preserve">To ensure the Group’s sustainability, the Bank must maintain an adequate level of capital with respect to the risks to which it is exposed and its strategy. Capital is a rare and strategic resource, which requires stringent, clearly defined, rigorous management according to an approach, which takes account of the needs and demands of stakeholders, including shareholders, supervisors, creditors and depositors. </w:t>
      </w:r>
    </w:p>
    <w:p w:rsidR="00FC2A74" w:rsidRPr="00F65152" w:rsidRDefault="00FC2A74" w:rsidP="009E0379">
      <w:pPr>
        <w:autoSpaceDE w:val="0"/>
        <w:autoSpaceDN w:val="0"/>
        <w:adjustRightInd w:val="0"/>
        <w:jc w:val="both"/>
      </w:pPr>
    </w:p>
    <w:p w:rsidR="009D3D4D" w:rsidRDefault="009D3D4D" w:rsidP="009E0379">
      <w:pPr>
        <w:autoSpaceDE w:val="0"/>
        <w:autoSpaceDN w:val="0"/>
        <w:adjustRightInd w:val="0"/>
        <w:jc w:val="both"/>
        <w:rPr>
          <w:lang w:val="fr-FR"/>
        </w:rPr>
      </w:pPr>
      <w:r w:rsidRPr="00F65152">
        <w:rPr>
          <w:rFonts w:cs="Arial"/>
          <w:b/>
          <w:szCs w:val="32"/>
          <w:u w:val="single"/>
          <w:lang w:val="fr-FR"/>
        </w:rPr>
        <w:t>Objectives:</w:t>
      </w:r>
      <w:r w:rsidR="00962085">
        <w:rPr>
          <w:rFonts w:cs="Arial"/>
          <w:b/>
          <w:szCs w:val="32"/>
          <w:u w:val="single"/>
          <w:lang w:val="fr-FR"/>
        </w:rPr>
        <w:t xml:space="preserve"> </w:t>
      </w:r>
      <w:r w:rsidR="00FC2A74" w:rsidRPr="00F65152">
        <w:rPr>
          <w:lang w:val="fr-FR"/>
        </w:rPr>
        <w:t xml:space="preserve">BNP Paribas’ capital management: </w:t>
      </w:r>
    </w:p>
    <w:p w:rsidR="00962085" w:rsidRPr="00F65152" w:rsidRDefault="00962085" w:rsidP="009E0379">
      <w:pPr>
        <w:autoSpaceDE w:val="0"/>
        <w:autoSpaceDN w:val="0"/>
        <w:adjustRightInd w:val="0"/>
        <w:jc w:val="both"/>
        <w:rPr>
          <w:lang w:val="fr-FR"/>
        </w:rPr>
      </w:pPr>
    </w:p>
    <w:p w:rsidR="009D3D4D" w:rsidRPr="00F65152" w:rsidRDefault="00FC2A74" w:rsidP="008B06B0">
      <w:pPr>
        <w:pStyle w:val="ListParagraph"/>
        <w:numPr>
          <w:ilvl w:val="0"/>
          <w:numId w:val="23"/>
        </w:numPr>
        <w:autoSpaceDE w:val="0"/>
        <w:autoSpaceDN w:val="0"/>
        <w:adjustRightInd w:val="0"/>
        <w:jc w:val="both"/>
        <w:rPr>
          <w:sz w:val="20"/>
          <w:szCs w:val="20"/>
        </w:rPr>
      </w:pPr>
      <w:r w:rsidRPr="00F65152">
        <w:rPr>
          <w:rFonts w:eastAsia="BNPP Sans Light"/>
          <w:sz w:val="20"/>
          <w:szCs w:val="20"/>
          <w:lang w:eastAsia="en-US"/>
        </w:rPr>
        <w:t xml:space="preserve">is governed by policies and procedures which make it possible to understand, document and supervise capital </w:t>
      </w:r>
      <w:r w:rsidRPr="00F65152">
        <w:rPr>
          <w:sz w:val="20"/>
          <w:szCs w:val="20"/>
        </w:rPr>
        <w:t>managemen</w:t>
      </w:r>
      <w:r w:rsidR="000D1653" w:rsidRPr="00F65152">
        <w:rPr>
          <w:sz w:val="20"/>
          <w:szCs w:val="20"/>
        </w:rPr>
        <w:t>t practices throughout the Bank</w:t>
      </w:r>
    </w:p>
    <w:p w:rsidR="009D3D4D" w:rsidRPr="00F65152" w:rsidRDefault="00FC2A74" w:rsidP="008B06B0">
      <w:pPr>
        <w:pStyle w:val="ListParagraph"/>
        <w:numPr>
          <w:ilvl w:val="0"/>
          <w:numId w:val="23"/>
        </w:numPr>
        <w:autoSpaceDE w:val="0"/>
        <w:autoSpaceDN w:val="0"/>
        <w:adjustRightInd w:val="0"/>
        <w:jc w:val="both"/>
        <w:rPr>
          <w:rFonts w:cs="Courier New"/>
          <w:sz w:val="20"/>
          <w:szCs w:val="20"/>
        </w:rPr>
      </w:pPr>
      <w:r w:rsidRPr="00F65152">
        <w:rPr>
          <w:sz w:val="20"/>
          <w:szCs w:val="20"/>
        </w:rPr>
        <w:t xml:space="preserve">takes risk measurement into account to determine the use of the capital; </w:t>
      </w:r>
    </w:p>
    <w:p w:rsidR="009D3D4D" w:rsidRPr="00F65152" w:rsidRDefault="00FC2A74" w:rsidP="008B06B0">
      <w:pPr>
        <w:pStyle w:val="ListParagraph"/>
        <w:numPr>
          <w:ilvl w:val="0"/>
          <w:numId w:val="23"/>
        </w:numPr>
        <w:autoSpaceDE w:val="0"/>
        <w:autoSpaceDN w:val="0"/>
        <w:adjustRightInd w:val="0"/>
        <w:jc w:val="both"/>
        <w:rPr>
          <w:sz w:val="20"/>
          <w:szCs w:val="20"/>
        </w:rPr>
      </w:pPr>
      <w:r w:rsidRPr="00F65152">
        <w:rPr>
          <w:sz w:val="20"/>
          <w:szCs w:val="20"/>
        </w:rPr>
        <w:t xml:space="preserve">considers capital requirements and resources under normal operating conditions, as well as under situations of severe, but plausible stress; </w:t>
      </w:r>
    </w:p>
    <w:p w:rsidR="009D3D4D" w:rsidRPr="00962085" w:rsidRDefault="00FC2A74" w:rsidP="00D37B23">
      <w:pPr>
        <w:pStyle w:val="ListParagraph"/>
        <w:numPr>
          <w:ilvl w:val="0"/>
          <w:numId w:val="23"/>
        </w:numPr>
        <w:autoSpaceDE w:val="0"/>
        <w:autoSpaceDN w:val="0"/>
        <w:adjustRightInd w:val="0"/>
        <w:jc w:val="both"/>
        <w:rPr>
          <w:sz w:val="20"/>
          <w:szCs w:val="20"/>
        </w:rPr>
      </w:pPr>
      <w:r w:rsidRPr="00962085">
        <w:rPr>
          <w:sz w:val="20"/>
          <w:szCs w:val="20"/>
        </w:rPr>
        <w:t>presents a forward-looking vision of the Bank</w:t>
      </w:r>
      <w:r w:rsidRPr="00962085">
        <w:rPr>
          <w:rFonts w:cs="BNPP Sans Light"/>
          <w:sz w:val="20"/>
          <w:szCs w:val="20"/>
        </w:rPr>
        <w:t>’</w:t>
      </w:r>
      <w:r w:rsidRPr="00962085">
        <w:rPr>
          <w:sz w:val="20"/>
          <w:szCs w:val="20"/>
        </w:rPr>
        <w:t>s capital adequacy to the Executive Management;</w:t>
      </w:r>
    </w:p>
    <w:p w:rsidR="009D3D4D" w:rsidRPr="00962085" w:rsidRDefault="00FC2A74" w:rsidP="00A4118A">
      <w:pPr>
        <w:pStyle w:val="ListParagraph"/>
        <w:numPr>
          <w:ilvl w:val="0"/>
          <w:numId w:val="23"/>
        </w:numPr>
        <w:autoSpaceDE w:val="0"/>
        <w:autoSpaceDN w:val="0"/>
        <w:adjustRightInd w:val="0"/>
        <w:jc w:val="both"/>
        <w:rPr>
          <w:rFonts w:cs="Courier New"/>
          <w:sz w:val="20"/>
          <w:szCs w:val="20"/>
        </w:rPr>
      </w:pPr>
      <w:r w:rsidRPr="00962085">
        <w:rPr>
          <w:sz w:val="20"/>
          <w:szCs w:val="20"/>
        </w:rPr>
        <w:t>allocates the capital constraint to the business lines in keeping with their strategic objectives;</w:t>
      </w:r>
    </w:p>
    <w:p w:rsidR="009D3D4D" w:rsidRPr="00962085" w:rsidRDefault="00FC2A74" w:rsidP="00370CFA">
      <w:pPr>
        <w:pStyle w:val="ListParagraph"/>
        <w:numPr>
          <w:ilvl w:val="0"/>
          <w:numId w:val="23"/>
        </w:numPr>
        <w:autoSpaceDE w:val="0"/>
        <w:autoSpaceDN w:val="0"/>
        <w:adjustRightInd w:val="0"/>
        <w:jc w:val="both"/>
        <w:rPr>
          <w:sz w:val="20"/>
          <w:szCs w:val="20"/>
        </w:rPr>
      </w:pPr>
      <w:r w:rsidRPr="00962085">
        <w:rPr>
          <w:sz w:val="20"/>
          <w:szCs w:val="20"/>
        </w:rPr>
        <w:t>complies with the Internal Capital Adequacy Assessment Process (ICAAP) and is consistent wi</w:t>
      </w:r>
      <w:r w:rsidR="009D3D4D" w:rsidRPr="00962085">
        <w:rPr>
          <w:sz w:val="20"/>
          <w:szCs w:val="20"/>
        </w:rPr>
        <w:t>th the Risk Appetite Framework;</w:t>
      </w:r>
    </w:p>
    <w:p w:rsidR="009D3D4D" w:rsidRPr="00F65152" w:rsidRDefault="00FC2A74" w:rsidP="008B06B0">
      <w:pPr>
        <w:pStyle w:val="ListParagraph"/>
        <w:numPr>
          <w:ilvl w:val="0"/>
          <w:numId w:val="23"/>
        </w:numPr>
        <w:autoSpaceDE w:val="0"/>
        <w:autoSpaceDN w:val="0"/>
        <w:adjustRightInd w:val="0"/>
        <w:jc w:val="both"/>
        <w:rPr>
          <w:sz w:val="20"/>
          <w:szCs w:val="20"/>
        </w:rPr>
      </w:pPr>
      <w:r w:rsidRPr="00F65152">
        <w:rPr>
          <w:sz w:val="20"/>
          <w:szCs w:val="20"/>
        </w:rPr>
        <w:t xml:space="preserve">is monitored by an appropriate governance. </w:t>
      </w:r>
    </w:p>
    <w:p w:rsidR="009D3D4D" w:rsidRPr="00F65152" w:rsidRDefault="009D3D4D" w:rsidP="009D3D4D">
      <w:pPr>
        <w:pStyle w:val="ListParagraph"/>
      </w:pPr>
    </w:p>
    <w:p w:rsidR="00962085" w:rsidRDefault="009D3D4D" w:rsidP="009D3D4D">
      <w:pPr>
        <w:autoSpaceDE w:val="0"/>
        <w:autoSpaceDN w:val="0"/>
        <w:adjustRightInd w:val="0"/>
        <w:jc w:val="both"/>
      </w:pPr>
      <w:r w:rsidRPr="00F65152">
        <w:rPr>
          <w:rFonts w:cs="Arial"/>
          <w:b/>
          <w:szCs w:val="32"/>
          <w:u w:val="single"/>
        </w:rPr>
        <w:t>Capital Management at Central Level:</w:t>
      </w:r>
      <w:r w:rsidR="00FC2A74" w:rsidRPr="00F65152">
        <w:t xml:space="preserve"> </w:t>
      </w:r>
    </w:p>
    <w:p w:rsidR="009D3D4D" w:rsidRPr="00F65152" w:rsidRDefault="00FC2A74" w:rsidP="009D3D4D">
      <w:pPr>
        <w:autoSpaceDE w:val="0"/>
        <w:autoSpaceDN w:val="0"/>
        <w:adjustRightInd w:val="0"/>
        <w:jc w:val="both"/>
      </w:pPr>
      <w:r w:rsidRPr="00F65152">
        <w:t xml:space="preserve">BNP Paribas’ capital management aims to ensure and verify that the Group has adequate capital to comply with the regulatory capital ratios, as well as specific requirements. To ensure its capital adequacy, the Group abides by the following principles: </w:t>
      </w:r>
    </w:p>
    <w:p w:rsidR="009D3D4D" w:rsidRPr="00F65152" w:rsidRDefault="009D3D4D" w:rsidP="000D1653">
      <w:pPr>
        <w:pStyle w:val="ListParagraph"/>
        <w:autoSpaceDE w:val="0"/>
        <w:autoSpaceDN w:val="0"/>
        <w:adjustRightInd w:val="0"/>
        <w:ind w:left="1004"/>
        <w:jc w:val="both"/>
        <w:rPr>
          <w:sz w:val="20"/>
          <w:szCs w:val="20"/>
        </w:rPr>
      </w:pPr>
    </w:p>
    <w:p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maintaining the capital at an appropriate level in view of BNP Paribas’ activities, risk appetite, growth and strategic initiatives; </w:t>
      </w:r>
    </w:p>
    <w:p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maintaining BNP Paribas’ capital at a level which complies with regulatory requirements; </w:t>
      </w:r>
    </w:p>
    <w:p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keeping a balance between capital adequacy and return on capital; </w:t>
      </w:r>
    </w:p>
    <w:p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meeting its obligations vis-à-vis creditors and counterparties, at each due date;</w:t>
      </w:r>
    </w:p>
    <w:p w:rsidR="00FC2A74" w:rsidRPr="00F65152" w:rsidRDefault="00FC2A74" w:rsidP="000D1653">
      <w:pPr>
        <w:pStyle w:val="ListParagraph"/>
        <w:numPr>
          <w:ilvl w:val="0"/>
          <w:numId w:val="23"/>
        </w:numPr>
        <w:autoSpaceDE w:val="0"/>
        <w:autoSpaceDN w:val="0"/>
        <w:adjustRightInd w:val="0"/>
        <w:jc w:val="both"/>
        <w:rPr>
          <w:sz w:val="20"/>
          <w:szCs w:val="20"/>
        </w:rPr>
      </w:pPr>
      <w:r w:rsidRPr="00F65152">
        <w:rPr>
          <w:sz w:val="20"/>
          <w:szCs w:val="20"/>
        </w:rPr>
        <w:t xml:space="preserve"> continuing to operate as a financial intermediary </w:t>
      </w:r>
    </w:p>
    <w:p w:rsidR="000D1653" w:rsidRDefault="000D1653" w:rsidP="009E0379">
      <w:pPr>
        <w:autoSpaceDE w:val="0"/>
        <w:autoSpaceDN w:val="0"/>
        <w:adjustRightInd w:val="0"/>
        <w:jc w:val="both"/>
      </w:pPr>
    </w:p>
    <w:p w:rsidR="00655400" w:rsidRDefault="000D1653" w:rsidP="000D1653">
      <w:pPr>
        <w:autoSpaceDE w:val="0"/>
        <w:autoSpaceDN w:val="0"/>
        <w:adjustRightInd w:val="0"/>
        <w:jc w:val="both"/>
      </w:pPr>
      <w:r w:rsidRPr="00F65152">
        <w:rPr>
          <w:rFonts w:cs="Arial"/>
          <w:b/>
          <w:szCs w:val="32"/>
          <w:u w:val="single"/>
        </w:rPr>
        <w:t>Capital Management at BNP Paribas UAE Level:</w:t>
      </w:r>
      <w:r w:rsidRPr="00F65152">
        <w:t xml:space="preserve"> </w:t>
      </w:r>
      <w:r w:rsidR="00FC2A74" w:rsidRPr="00F65152">
        <w:t>The Group has to allocate available capital among its different entities. To ensure a free and efficient flow of capital throughout the Group, the capital allocation process within the Group is centralised at head office level. It is mainly based on two principles: compliance with local regulatory requirements and analysis of the local business needs of th</w:t>
      </w:r>
      <w:r w:rsidRPr="00F65152">
        <w:t>e entity and growth prospects. I</w:t>
      </w:r>
      <w:r w:rsidR="00FC2A74" w:rsidRPr="00F65152">
        <w:t xml:space="preserve">n line with these two principles, the aim is to minimise capital dispersion. </w:t>
      </w:r>
    </w:p>
    <w:p w:rsidR="00655400" w:rsidRDefault="00655400" w:rsidP="000D1653">
      <w:pPr>
        <w:autoSpaceDE w:val="0"/>
        <w:autoSpaceDN w:val="0"/>
        <w:adjustRightInd w:val="0"/>
        <w:jc w:val="both"/>
      </w:pPr>
    </w:p>
    <w:p w:rsidR="005A5B38" w:rsidRPr="00F65152" w:rsidRDefault="00FC2A74" w:rsidP="000D1653">
      <w:pPr>
        <w:autoSpaceDE w:val="0"/>
        <w:autoSpaceDN w:val="0"/>
        <w:adjustRightInd w:val="0"/>
        <w:jc w:val="both"/>
      </w:pPr>
      <w:r w:rsidRPr="00F65152">
        <w:t>With respect to the first principle, the local Chief Financial Officers are responsible for the daily management and reporting of their subsidiaries’ capital requirements. When a capital need arises, it is analysed on a caseby-case basis by the Group, taking into consideration the subsidiary’s present position and future strategy. Furthermore, each year, the Group manages the subsidiaries’ earnings repatriation process. The Group general policy stipulates that the entire distributable profit of every entity, including retained earnings, must be paid out. This policy ensures that the capital remains centralised at the BNP Paribas SA level and also contributes to reducing the foreign exchange risk. With respect to the second principle, the needs of each entity are analysed by dedicated teams in light of the Group’s strategy in the relevant country, the entity’s growth prospects and the macroeconomic environment. In addition, every year the Group examines the branches’ capital allocations in order to maintain an adequate level of capital in light of the different regulations.</w:t>
      </w:r>
    </w:p>
    <w:p w:rsidR="003834E2" w:rsidRPr="00F65152" w:rsidRDefault="003834E2" w:rsidP="009E0379">
      <w:pPr>
        <w:autoSpaceDE w:val="0"/>
        <w:autoSpaceDN w:val="0"/>
        <w:adjustRightInd w:val="0"/>
        <w:jc w:val="both"/>
        <w:rPr>
          <w:rFonts w:cs="Arial"/>
          <w:color w:val="000000"/>
          <w:sz w:val="8"/>
          <w:szCs w:val="32"/>
        </w:rPr>
      </w:pPr>
    </w:p>
    <w:p w:rsidR="003834E2" w:rsidRDefault="003834E2" w:rsidP="009E0379">
      <w:pPr>
        <w:autoSpaceDE w:val="0"/>
        <w:autoSpaceDN w:val="0"/>
        <w:adjustRightInd w:val="0"/>
        <w:jc w:val="both"/>
        <w:rPr>
          <w:rFonts w:cs="Arial"/>
          <w:color w:val="000000"/>
          <w:sz w:val="8"/>
          <w:szCs w:val="32"/>
        </w:rPr>
      </w:pPr>
    </w:p>
    <w:p w:rsidR="00962085" w:rsidRPr="00F65152" w:rsidRDefault="00962085" w:rsidP="009E0379">
      <w:pPr>
        <w:autoSpaceDE w:val="0"/>
        <w:autoSpaceDN w:val="0"/>
        <w:adjustRightInd w:val="0"/>
        <w:jc w:val="both"/>
        <w:rPr>
          <w:rFonts w:cs="Arial"/>
          <w:color w:val="000000"/>
          <w:sz w:val="8"/>
          <w:szCs w:val="32"/>
        </w:rPr>
      </w:pPr>
    </w:p>
    <w:p w:rsidR="00C01F1A" w:rsidRPr="00893816" w:rsidRDefault="00C01F1A" w:rsidP="00C01F1A">
      <w:pPr>
        <w:pStyle w:val="Heading1"/>
        <w:rPr>
          <w:rFonts w:ascii="BNPP Rounded" w:hAnsi="BNPP Rounded"/>
          <w:b/>
          <w:sz w:val="32"/>
        </w:rPr>
      </w:pPr>
      <w:bookmarkStart w:id="7" w:name="_Toc104282205"/>
      <w:r w:rsidRPr="00893816">
        <w:rPr>
          <w:rFonts w:ascii="BNPP Rounded" w:hAnsi="BNPP Rounded"/>
          <w:b/>
          <w:sz w:val="32"/>
        </w:rPr>
        <w:t>RISK MANAGEMENT</w:t>
      </w:r>
      <w:bookmarkEnd w:id="7"/>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Style w:val="Hyperlink"/>
          <w:rFonts w:cs="Arial"/>
          <w:sz w:val="16"/>
        </w:rPr>
      </w:pPr>
      <w:r w:rsidRPr="00F65152">
        <w:rPr>
          <w:rFonts w:cs="Arial"/>
          <w:i/>
          <w:color w:val="000000"/>
          <w:sz w:val="16"/>
          <w:szCs w:val="32"/>
        </w:rPr>
        <w:t>Details about strategies, processes and organization of risk management within BNP Paribas group can be found as part of its Registration Document, at:</w:t>
      </w:r>
      <w:r w:rsidR="00C963A1" w:rsidRPr="00F65152">
        <w:rPr>
          <w:rFonts w:cs="Arial"/>
          <w:i/>
          <w:color w:val="000000"/>
          <w:sz w:val="16"/>
          <w:szCs w:val="32"/>
        </w:rPr>
        <w:t xml:space="preserve"> </w:t>
      </w:r>
      <w:hyperlink r:id="rId15" w:history="1">
        <w:r w:rsidRPr="00F65152">
          <w:rPr>
            <w:rStyle w:val="Hyperlink"/>
            <w:rFonts w:cs="Arial"/>
            <w:sz w:val="16"/>
          </w:rPr>
          <w:t>https://invest.bnpparibas.com/en/registration-documents-annual-financial-reports</w:t>
        </w:r>
      </w:hyperlink>
    </w:p>
    <w:p w:rsidR="00C01F1A" w:rsidRPr="00F65152" w:rsidRDefault="00C01F1A" w:rsidP="00C01F1A">
      <w:pPr>
        <w:autoSpaceDE w:val="0"/>
        <w:autoSpaceDN w:val="0"/>
        <w:adjustRightInd w:val="0"/>
        <w:rPr>
          <w:rFonts w:cs="Arial"/>
          <w:color w:val="000000"/>
          <w:szCs w:val="32"/>
        </w:rPr>
      </w:pPr>
    </w:p>
    <w:p w:rsidR="00F731F2" w:rsidRPr="00F65152" w:rsidRDefault="00F731F2" w:rsidP="00F731F2">
      <w:pPr>
        <w:autoSpaceDE w:val="0"/>
        <w:autoSpaceDN w:val="0"/>
        <w:adjustRightInd w:val="0"/>
        <w:jc w:val="both"/>
        <w:rPr>
          <w:rFonts w:cs="Arial"/>
          <w:color w:val="000000"/>
          <w:szCs w:val="32"/>
        </w:rPr>
      </w:pPr>
      <w:r w:rsidRPr="00F65152">
        <w:rPr>
          <w:rFonts w:cs="Arial"/>
          <w:color w:val="000000"/>
          <w:szCs w:val="32"/>
        </w:rPr>
        <w:t>Risk management is central to the banking business and is one of the cornerstones of operations for the BNP Paribas Group. BNP Paribas has an internal control system covering all types of risks to which the Group may be exposed, organised around three lines of defence:</w:t>
      </w:r>
    </w:p>
    <w:p w:rsidR="00F731F2" w:rsidRPr="00F65152" w:rsidRDefault="00F731F2" w:rsidP="00F731F2">
      <w:pPr>
        <w:widowControl/>
        <w:autoSpaceDE w:val="0"/>
        <w:autoSpaceDN w:val="0"/>
        <w:adjustRightInd w:val="0"/>
        <w:spacing w:before="0"/>
        <w:ind w:left="0" w:right="0"/>
        <w:rPr>
          <w:rFonts w:cs="Arial"/>
          <w:color w:val="000000"/>
          <w:szCs w:val="32"/>
        </w:rPr>
      </w:pPr>
    </w:p>
    <w:p w:rsidR="00F731F2" w:rsidRPr="00F65152" w:rsidRDefault="00F731F2" w:rsidP="00F731F2">
      <w:pPr>
        <w:pStyle w:val="ListParagraph"/>
        <w:numPr>
          <w:ilvl w:val="0"/>
          <w:numId w:val="18"/>
        </w:numPr>
        <w:autoSpaceDE w:val="0"/>
        <w:autoSpaceDN w:val="0"/>
        <w:adjustRightInd w:val="0"/>
        <w:ind w:right="818"/>
        <w:jc w:val="both"/>
        <w:rPr>
          <w:rFonts w:eastAsia="BNPP Sans Light" w:cs="Arial"/>
          <w:color w:val="000000"/>
          <w:sz w:val="20"/>
          <w:szCs w:val="32"/>
        </w:rPr>
      </w:pPr>
      <w:r w:rsidRPr="00F65152">
        <w:rPr>
          <w:rFonts w:eastAsia="BNPP Sans Light" w:cs="Arial"/>
          <w:color w:val="000000"/>
          <w:sz w:val="20"/>
          <w:szCs w:val="32"/>
        </w:rPr>
        <w:t>As the first line of defence, Internal Control is the business of every employee, and the heads of the operational activities are responsible for establishing and running a system for identifying, assessing and managing risks according to the standards defined by the functions exercising an independent control in respect of a second level of control</w:t>
      </w:r>
    </w:p>
    <w:p w:rsidR="00F731F2" w:rsidRPr="00F65152" w:rsidRDefault="00F731F2" w:rsidP="00F731F2">
      <w:pPr>
        <w:pStyle w:val="ListParagraph"/>
        <w:autoSpaceDE w:val="0"/>
        <w:autoSpaceDN w:val="0"/>
        <w:adjustRightInd w:val="0"/>
        <w:ind w:left="1440" w:right="818"/>
        <w:jc w:val="both"/>
        <w:rPr>
          <w:rFonts w:eastAsia="BNPP Sans Light" w:cs="Arial"/>
          <w:color w:val="000000"/>
          <w:sz w:val="20"/>
          <w:szCs w:val="32"/>
        </w:rPr>
      </w:pPr>
    </w:p>
    <w:p w:rsidR="00F731F2" w:rsidRPr="00F65152" w:rsidRDefault="00F731F2" w:rsidP="00FE4FCE">
      <w:pPr>
        <w:pStyle w:val="ListParagraph"/>
        <w:numPr>
          <w:ilvl w:val="0"/>
          <w:numId w:val="18"/>
        </w:numPr>
        <w:autoSpaceDE w:val="0"/>
        <w:autoSpaceDN w:val="0"/>
        <w:adjustRightInd w:val="0"/>
        <w:ind w:right="818"/>
        <w:jc w:val="both"/>
        <w:rPr>
          <w:rFonts w:eastAsia="BNPP Sans Light" w:cs="Arial"/>
          <w:color w:val="000000"/>
          <w:sz w:val="20"/>
          <w:szCs w:val="32"/>
        </w:rPr>
      </w:pPr>
      <w:r w:rsidRPr="00F65152">
        <w:rPr>
          <w:rFonts w:eastAsia="BNPP Sans Light" w:cs="Arial"/>
          <w:color w:val="000000"/>
          <w:sz w:val="20"/>
          <w:szCs w:val="32"/>
        </w:rPr>
        <w:t xml:space="preserve">The main control functions within BNP Paribas ensuring the second line of defence are the Compliance, </w:t>
      </w:r>
      <w:r w:rsidR="006F418F" w:rsidRPr="00F65152">
        <w:rPr>
          <w:rFonts w:eastAsia="BNPP Sans Light" w:cs="Arial"/>
          <w:color w:val="000000"/>
          <w:sz w:val="20"/>
          <w:szCs w:val="32"/>
        </w:rPr>
        <w:t xml:space="preserve">Risk and Legal </w:t>
      </w:r>
      <w:r w:rsidRPr="00F65152">
        <w:rPr>
          <w:rFonts w:eastAsia="BNPP Sans Light" w:cs="Arial"/>
          <w:color w:val="000000"/>
          <w:sz w:val="20"/>
          <w:szCs w:val="32"/>
        </w:rPr>
        <w:t>Functions. Their Heads report directly to Chief Executive Officer and account for the performance of their missions to the Board of directors via its specialised committees</w:t>
      </w:r>
    </w:p>
    <w:p w:rsidR="00F731F2" w:rsidRPr="00F65152" w:rsidRDefault="00F731F2" w:rsidP="00F731F2">
      <w:pPr>
        <w:pStyle w:val="ListParagraph"/>
        <w:rPr>
          <w:rFonts w:eastAsia="BNPP Sans Light" w:cs="Arial"/>
          <w:color w:val="000000"/>
          <w:sz w:val="20"/>
          <w:szCs w:val="32"/>
        </w:rPr>
      </w:pPr>
    </w:p>
    <w:p w:rsidR="00F731F2" w:rsidRPr="00655400" w:rsidRDefault="00F731F2" w:rsidP="00FE4FCE">
      <w:pPr>
        <w:pStyle w:val="ListParagraph"/>
        <w:numPr>
          <w:ilvl w:val="0"/>
          <w:numId w:val="18"/>
        </w:numPr>
        <w:autoSpaceDE w:val="0"/>
        <w:autoSpaceDN w:val="0"/>
        <w:adjustRightInd w:val="0"/>
        <w:ind w:right="818"/>
        <w:jc w:val="both"/>
        <w:rPr>
          <w:rFonts w:eastAsia="BNPP Sans Light" w:cs="Arial"/>
          <w:color w:val="000000"/>
          <w:sz w:val="20"/>
          <w:szCs w:val="32"/>
          <w:lang w:eastAsia="en-US"/>
        </w:rPr>
      </w:pPr>
      <w:r w:rsidRPr="00F65152">
        <w:rPr>
          <w:rFonts w:eastAsia="BNPP Sans Light" w:cs="Arial"/>
          <w:color w:val="000000"/>
          <w:sz w:val="20"/>
          <w:szCs w:val="32"/>
        </w:rPr>
        <w:t xml:space="preserve">General Inspection provides a third level of defence. It is responsible for the periodic </w:t>
      </w:r>
      <w:r w:rsidRPr="00F65152">
        <w:rPr>
          <w:rFonts w:eastAsia="BNPP Sans Light" w:cs="Arial"/>
          <w:color w:val="000000"/>
          <w:sz w:val="20"/>
          <w:szCs w:val="32"/>
          <w:lang w:eastAsia="en-US"/>
        </w:rPr>
        <w:t>control.</w:t>
      </w:r>
    </w:p>
    <w:p w:rsidR="00655400" w:rsidRDefault="00655400" w:rsidP="00655400">
      <w:pPr>
        <w:autoSpaceDE w:val="0"/>
        <w:autoSpaceDN w:val="0"/>
        <w:adjustRightInd w:val="0"/>
        <w:jc w:val="both"/>
        <w:rPr>
          <w:rFonts w:cs="Arial"/>
          <w:color w:val="000000"/>
          <w:szCs w:val="32"/>
        </w:rPr>
      </w:pPr>
    </w:p>
    <w:p w:rsidR="00655400" w:rsidRPr="00655400" w:rsidRDefault="00655400" w:rsidP="00655400">
      <w:pPr>
        <w:autoSpaceDE w:val="0"/>
        <w:autoSpaceDN w:val="0"/>
        <w:adjustRightInd w:val="0"/>
        <w:jc w:val="both"/>
        <w:rPr>
          <w:rFonts w:cs="Arial"/>
          <w:b/>
          <w:color w:val="000000"/>
          <w:szCs w:val="32"/>
          <w:u w:val="single"/>
        </w:rPr>
      </w:pPr>
      <w:r w:rsidRPr="00655400">
        <w:rPr>
          <w:rFonts w:cs="Arial"/>
          <w:b/>
          <w:color w:val="000000"/>
          <w:szCs w:val="32"/>
          <w:u w:val="single"/>
        </w:rPr>
        <w:t>General Responsibilities of the RISK and Compliance Functions:</w:t>
      </w:r>
    </w:p>
    <w:p w:rsidR="00655400" w:rsidRPr="00655400" w:rsidRDefault="00655400" w:rsidP="00655400">
      <w:pPr>
        <w:autoSpaceDE w:val="0"/>
        <w:autoSpaceDN w:val="0"/>
        <w:adjustRightInd w:val="0"/>
        <w:jc w:val="both"/>
        <w:rPr>
          <w:rFonts w:cs="Arial"/>
          <w:color w:val="000000"/>
          <w:szCs w:val="32"/>
        </w:rPr>
      </w:pPr>
      <w:r w:rsidRPr="00655400">
        <w:rPr>
          <w:rFonts w:cs="Arial"/>
          <w:color w:val="000000"/>
          <w:szCs w:val="32"/>
        </w:rPr>
        <w:t>Responsibility for managing risks primarily lies with the divisions and</w:t>
      </w:r>
      <w:r>
        <w:rPr>
          <w:rFonts w:cs="Arial"/>
          <w:color w:val="000000"/>
          <w:szCs w:val="32"/>
        </w:rPr>
        <w:t xml:space="preserve"> </w:t>
      </w:r>
      <w:r w:rsidRPr="00655400">
        <w:rPr>
          <w:rFonts w:cs="Arial"/>
          <w:color w:val="000000"/>
          <w:szCs w:val="32"/>
        </w:rPr>
        <w:t>business lines that are at the origin of the underlying transactions. RISK</w:t>
      </w:r>
      <w:r>
        <w:rPr>
          <w:rFonts w:cs="Arial"/>
          <w:color w:val="000000"/>
          <w:szCs w:val="32"/>
        </w:rPr>
        <w:t xml:space="preserve"> </w:t>
      </w:r>
      <w:r w:rsidRPr="00655400">
        <w:rPr>
          <w:rFonts w:cs="Arial"/>
          <w:color w:val="000000"/>
          <w:szCs w:val="32"/>
        </w:rPr>
        <w:t>continuously performs a second-line control over credit and counterparty</w:t>
      </w:r>
    </w:p>
    <w:p w:rsidR="00655400" w:rsidRDefault="00655400" w:rsidP="00655400">
      <w:pPr>
        <w:autoSpaceDE w:val="0"/>
        <w:autoSpaceDN w:val="0"/>
        <w:adjustRightInd w:val="0"/>
        <w:jc w:val="both"/>
        <w:rPr>
          <w:rFonts w:cs="Arial"/>
          <w:color w:val="000000"/>
          <w:szCs w:val="32"/>
        </w:rPr>
      </w:pPr>
      <w:r w:rsidRPr="00655400">
        <w:rPr>
          <w:rFonts w:cs="Arial"/>
          <w:color w:val="000000"/>
          <w:szCs w:val="32"/>
        </w:rPr>
        <w:t>risks, market risk, interest rate and foreign exchange rate risks on the</w:t>
      </w:r>
      <w:r>
        <w:rPr>
          <w:rFonts w:cs="Arial"/>
          <w:color w:val="000000"/>
          <w:szCs w:val="32"/>
        </w:rPr>
        <w:t xml:space="preserve"> </w:t>
      </w:r>
      <w:r w:rsidRPr="00655400">
        <w:rPr>
          <w:rFonts w:cs="Arial"/>
          <w:color w:val="000000"/>
          <w:szCs w:val="32"/>
        </w:rPr>
        <w:t>banking book, liquidity risks, insurance risks, and operational risk,</w:t>
      </w:r>
      <w:r>
        <w:rPr>
          <w:rFonts w:cs="Arial"/>
          <w:color w:val="000000"/>
          <w:szCs w:val="32"/>
        </w:rPr>
        <w:t xml:space="preserve"> </w:t>
      </w:r>
      <w:r w:rsidRPr="00655400">
        <w:rPr>
          <w:rFonts w:cs="Arial"/>
          <w:color w:val="000000"/>
          <w:szCs w:val="32"/>
        </w:rPr>
        <w:t>including technological and cybersecurity risks, over data protection</w:t>
      </w:r>
      <w:r>
        <w:rPr>
          <w:rFonts w:cs="Arial"/>
          <w:color w:val="000000"/>
          <w:szCs w:val="32"/>
        </w:rPr>
        <w:t xml:space="preserve"> </w:t>
      </w:r>
      <w:r w:rsidRPr="00655400">
        <w:rPr>
          <w:rFonts w:cs="Arial"/>
          <w:color w:val="000000"/>
          <w:szCs w:val="32"/>
        </w:rPr>
        <w:t>risks, modelling risks and environmental and social risk factors, as</w:t>
      </w:r>
      <w:r>
        <w:rPr>
          <w:rFonts w:cs="Arial"/>
          <w:color w:val="000000"/>
          <w:szCs w:val="32"/>
        </w:rPr>
        <w:t xml:space="preserve"> </w:t>
      </w:r>
      <w:r w:rsidRPr="00655400">
        <w:rPr>
          <w:rFonts w:cs="Arial"/>
          <w:color w:val="000000"/>
          <w:szCs w:val="32"/>
        </w:rPr>
        <w:t>well as the associated governance risks.</w:t>
      </w:r>
    </w:p>
    <w:p w:rsidR="00655400" w:rsidRDefault="00655400" w:rsidP="00655400">
      <w:pPr>
        <w:autoSpaceDE w:val="0"/>
        <w:autoSpaceDN w:val="0"/>
        <w:adjustRightInd w:val="0"/>
        <w:jc w:val="both"/>
        <w:rPr>
          <w:rFonts w:cs="Arial"/>
          <w:color w:val="000000"/>
          <w:szCs w:val="32"/>
        </w:rPr>
      </w:pPr>
    </w:p>
    <w:p w:rsidR="00655400" w:rsidRDefault="00655400" w:rsidP="00655400">
      <w:pPr>
        <w:autoSpaceDE w:val="0"/>
        <w:autoSpaceDN w:val="0"/>
        <w:adjustRightInd w:val="0"/>
        <w:spacing w:before="0" w:line="240" w:lineRule="exact"/>
        <w:ind w:left="288" w:right="216"/>
        <w:jc w:val="both"/>
        <w:rPr>
          <w:rFonts w:cs="Arial"/>
          <w:color w:val="000000"/>
          <w:szCs w:val="32"/>
        </w:rPr>
      </w:pPr>
      <w:r w:rsidRPr="00655400">
        <w:rPr>
          <w:rFonts w:cs="Arial"/>
          <w:color w:val="000000"/>
          <w:szCs w:val="32"/>
        </w:rPr>
        <w:t>As part of this role, it must</w:t>
      </w:r>
      <w:r>
        <w:rPr>
          <w:rFonts w:cs="Arial"/>
          <w:color w:val="000000"/>
          <w:szCs w:val="32"/>
        </w:rPr>
        <w:t xml:space="preserve"> </w:t>
      </w:r>
      <w:r w:rsidRPr="00655400">
        <w:rPr>
          <w:rFonts w:cs="Arial"/>
          <w:color w:val="000000"/>
          <w:szCs w:val="32"/>
        </w:rPr>
        <w:t>ascertain the soundness and sustainability of the business commercial</w:t>
      </w:r>
      <w:r>
        <w:rPr>
          <w:rFonts w:cs="Arial"/>
          <w:color w:val="000000"/>
          <w:szCs w:val="32"/>
        </w:rPr>
        <w:t xml:space="preserve"> developments</w:t>
      </w:r>
      <w:r w:rsidRPr="00655400">
        <w:rPr>
          <w:rFonts w:cs="Arial"/>
          <w:color w:val="000000"/>
          <w:szCs w:val="32"/>
        </w:rPr>
        <w:t xml:space="preserve"> and their overall alignment with the risk appetite target</w:t>
      </w:r>
      <w:r>
        <w:rPr>
          <w:rFonts w:cs="Arial"/>
          <w:color w:val="000000"/>
          <w:szCs w:val="32"/>
        </w:rPr>
        <w:t xml:space="preserve"> </w:t>
      </w:r>
      <w:r w:rsidRPr="00655400">
        <w:rPr>
          <w:rFonts w:cs="Arial"/>
          <w:color w:val="000000"/>
          <w:szCs w:val="32"/>
        </w:rPr>
        <w:t>set by the Group. RISK</w:t>
      </w:r>
      <w:r w:rsidRPr="00655400">
        <w:rPr>
          <w:rFonts w:cs="Arial" w:hint="eastAsia"/>
          <w:color w:val="000000"/>
          <w:szCs w:val="32"/>
        </w:rPr>
        <w:t>’</w:t>
      </w:r>
      <w:r w:rsidRPr="00655400">
        <w:rPr>
          <w:rFonts w:cs="Arial"/>
          <w:color w:val="000000"/>
          <w:szCs w:val="32"/>
        </w:rPr>
        <w:t>s remit includes formulating recommendations</w:t>
      </w:r>
      <w:r>
        <w:rPr>
          <w:rFonts w:cs="Arial"/>
          <w:color w:val="000000"/>
          <w:szCs w:val="32"/>
        </w:rPr>
        <w:t xml:space="preserve"> </w:t>
      </w:r>
      <w:r w:rsidRPr="00655400">
        <w:rPr>
          <w:rFonts w:cs="Arial"/>
          <w:color w:val="000000"/>
          <w:szCs w:val="32"/>
        </w:rPr>
        <w:t>on risk policies, analysing the risk portfolio on a forward-looking basis,</w:t>
      </w:r>
      <w:r>
        <w:rPr>
          <w:rFonts w:cs="Arial"/>
          <w:color w:val="000000"/>
          <w:szCs w:val="32"/>
        </w:rPr>
        <w:t xml:space="preserve"> </w:t>
      </w:r>
      <w:r w:rsidRPr="00655400">
        <w:rPr>
          <w:rFonts w:cs="Arial"/>
          <w:color w:val="000000"/>
          <w:szCs w:val="32"/>
        </w:rPr>
        <w:t>approving corporate loans and trading limits, guaranteeing the quality</w:t>
      </w:r>
      <w:r>
        <w:rPr>
          <w:rFonts w:cs="Arial"/>
          <w:color w:val="000000"/>
          <w:szCs w:val="32"/>
        </w:rPr>
        <w:t xml:space="preserve"> </w:t>
      </w:r>
      <w:r w:rsidRPr="00655400">
        <w:rPr>
          <w:rFonts w:cs="Arial"/>
          <w:color w:val="000000"/>
          <w:szCs w:val="32"/>
        </w:rPr>
        <w:t>and effectiveness of monitoring procedures and defining or validating risk</w:t>
      </w:r>
      <w:r>
        <w:rPr>
          <w:rFonts w:cs="Arial"/>
          <w:color w:val="000000"/>
          <w:szCs w:val="32"/>
        </w:rPr>
        <w:t xml:space="preserve"> </w:t>
      </w:r>
      <w:r w:rsidRPr="00655400">
        <w:rPr>
          <w:rFonts w:cs="Arial"/>
          <w:color w:val="000000"/>
          <w:szCs w:val="32"/>
        </w:rPr>
        <w:t>measurement methods. RISK is also responsible for ensuring that all the</w:t>
      </w:r>
      <w:r>
        <w:rPr>
          <w:rFonts w:cs="Arial"/>
          <w:color w:val="000000"/>
          <w:szCs w:val="32"/>
        </w:rPr>
        <w:t xml:space="preserve"> </w:t>
      </w:r>
      <w:r w:rsidRPr="00655400">
        <w:rPr>
          <w:rFonts w:cs="Arial"/>
          <w:color w:val="000000"/>
          <w:szCs w:val="32"/>
        </w:rPr>
        <w:t>risk implications of new businesses or products have been adequately</w:t>
      </w:r>
      <w:r>
        <w:rPr>
          <w:rFonts w:cs="Arial"/>
          <w:color w:val="000000"/>
          <w:szCs w:val="32"/>
        </w:rPr>
        <w:t xml:space="preserve"> </w:t>
      </w:r>
      <w:r w:rsidRPr="00655400">
        <w:rPr>
          <w:rFonts w:cs="Arial"/>
          <w:color w:val="000000"/>
          <w:szCs w:val="32"/>
        </w:rPr>
        <w:t>assessed.</w:t>
      </w:r>
    </w:p>
    <w:p w:rsidR="00655400" w:rsidRPr="00655400" w:rsidRDefault="00655400" w:rsidP="00655400">
      <w:pPr>
        <w:autoSpaceDE w:val="0"/>
        <w:autoSpaceDN w:val="0"/>
        <w:adjustRightInd w:val="0"/>
        <w:jc w:val="both"/>
        <w:rPr>
          <w:rFonts w:cs="Arial"/>
          <w:color w:val="000000"/>
          <w:szCs w:val="32"/>
        </w:rPr>
      </w:pPr>
    </w:p>
    <w:p w:rsidR="00655400" w:rsidRDefault="00655400" w:rsidP="00655400">
      <w:pPr>
        <w:autoSpaceDE w:val="0"/>
        <w:autoSpaceDN w:val="0"/>
        <w:adjustRightInd w:val="0"/>
        <w:jc w:val="both"/>
        <w:rPr>
          <w:rFonts w:cs="Arial"/>
          <w:color w:val="000000"/>
          <w:szCs w:val="32"/>
        </w:rPr>
      </w:pPr>
      <w:r w:rsidRPr="00655400">
        <w:rPr>
          <w:rFonts w:cs="Arial"/>
          <w:color w:val="000000"/>
          <w:szCs w:val="32"/>
        </w:rPr>
        <w:t>Compliance has identical responsibilities as regards compliance a</w:t>
      </w:r>
      <w:r>
        <w:rPr>
          <w:rFonts w:cs="Arial"/>
          <w:color w:val="000000"/>
          <w:szCs w:val="32"/>
        </w:rPr>
        <w:t xml:space="preserve"> </w:t>
      </w:r>
      <w:r w:rsidRPr="00655400">
        <w:rPr>
          <w:rFonts w:cs="Arial"/>
          <w:color w:val="000000"/>
          <w:szCs w:val="32"/>
        </w:rPr>
        <w:t>d</w:t>
      </w:r>
      <w:r>
        <w:rPr>
          <w:rFonts w:cs="Arial"/>
          <w:color w:val="000000"/>
          <w:szCs w:val="32"/>
        </w:rPr>
        <w:t xml:space="preserve"> </w:t>
      </w:r>
      <w:r w:rsidRPr="00655400">
        <w:rPr>
          <w:rFonts w:cs="Arial"/>
          <w:color w:val="000000"/>
          <w:szCs w:val="32"/>
        </w:rPr>
        <w:t>reputation risks. It plays an important oversight and reporting role in</w:t>
      </w:r>
      <w:r>
        <w:rPr>
          <w:rFonts w:cs="Arial"/>
          <w:color w:val="000000"/>
          <w:szCs w:val="32"/>
        </w:rPr>
        <w:t xml:space="preserve"> </w:t>
      </w:r>
      <w:r w:rsidRPr="00655400">
        <w:rPr>
          <w:rFonts w:cs="Arial"/>
          <w:color w:val="000000"/>
          <w:szCs w:val="32"/>
        </w:rPr>
        <w:t>the process of validating new products, new business activities and</w:t>
      </w:r>
      <w:r>
        <w:rPr>
          <w:rFonts w:cs="Arial"/>
          <w:color w:val="000000"/>
          <w:szCs w:val="32"/>
        </w:rPr>
        <w:t xml:space="preserve"> </w:t>
      </w:r>
      <w:r w:rsidRPr="00655400">
        <w:rPr>
          <w:rFonts w:cs="Arial"/>
          <w:color w:val="000000"/>
          <w:szCs w:val="32"/>
        </w:rPr>
        <w:t>exceptional transactions.</w:t>
      </w:r>
    </w:p>
    <w:p w:rsidR="00655400" w:rsidRPr="00655400" w:rsidRDefault="00655400" w:rsidP="00655400">
      <w:pPr>
        <w:autoSpaceDE w:val="0"/>
        <w:autoSpaceDN w:val="0"/>
        <w:adjustRightInd w:val="0"/>
        <w:jc w:val="both"/>
        <w:rPr>
          <w:rFonts w:cs="Arial"/>
          <w:b/>
          <w:color w:val="000000"/>
          <w:szCs w:val="32"/>
          <w:u w:val="single"/>
        </w:rPr>
      </w:pPr>
    </w:p>
    <w:p w:rsidR="00655400" w:rsidRDefault="00655400" w:rsidP="00655400">
      <w:pPr>
        <w:autoSpaceDE w:val="0"/>
        <w:autoSpaceDN w:val="0"/>
        <w:adjustRightInd w:val="0"/>
        <w:jc w:val="both"/>
        <w:rPr>
          <w:rFonts w:cs="Arial"/>
          <w:color w:val="000000"/>
          <w:szCs w:val="32"/>
        </w:rPr>
      </w:pPr>
      <w:r>
        <w:rPr>
          <w:rFonts w:cs="Arial"/>
          <w:b/>
          <w:color w:val="000000"/>
          <w:szCs w:val="32"/>
          <w:u w:val="single"/>
        </w:rPr>
        <w:t>Organisation of the Risk and Compliance Functions:</w:t>
      </w:r>
    </w:p>
    <w:p w:rsidR="00962085" w:rsidRPr="00F65152" w:rsidRDefault="00CE7C7C" w:rsidP="00655400">
      <w:pPr>
        <w:autoSpaceDE w:val="0"/>
        <w:autoSpaceDN w:val="0"/>
        <w:adjustRightInd w:val="0"/>
        <w:spacing w:line="240" w:lineRule="exact"/>
        <w:ind w:left="288" w:right="216"/>
        <w:jc w:val="both"/>
        <w:rPr>
          <w:rFonts w:cs="Arial"/>
          <w:color w:val="000000"/>
          <w:szCs w:val="32"/>
        </w:rPr>
      </w:pPr>
      <w:r>
        <w:rPr>
          <w:rFonts w:cs="Arial"/>
          <w:color w:val="000000"/>
          <w:szCs w:val="32"/>
        </w:rPr>
        <w:t xml:space="preserve">The </w:t>
      </w:r>
      <w:r w:rsidRPr="00CE7C7C">
        <w:rPr>
          <w:rFonts w:cs="Arial"/>
          <w:color w:val="000000"/>
          <w:szCs w:val="32"/>
        </w:rPr>
        <w:t xml:space="preserve">RISK </w:t>
      </w:r>
      <w:r>
        <w:rPr>
          <w:rFonts w:cs="Arial"/>
          <w:color w:val="000000"/>
          <w:szCs w:val="32"/>
        </w:rPr>
        <w:t>department</w:t>
      </w:r>
      <w:r w:rsidRPr="00CE7C7C">
        <w:rPr>
          <w:rFonts w:cs="Arial"/>
          <w:color w:val="000000"/>
          <w:szCs w:val="32"/>
        </w:rPr>
        <w:t xml:space="preserve"> fully complies with the principles of independence, vertical integration, and decentralisation issued by the Group</w:t>
      </w:r>
      <w:r w:rsidRPr="00CE7C7C">
        <w:rPr>
          <w:rFonts w:cs="Arial" w:hint="eastAsia"/>
          <w:color w:val="000000"/>
          <w:szCs w:val="32"/>
        </w:rPr>
        <w:t>’</w:t>
      </w:r>
      <w:r w:rsidRPr="00CE7C7C">
        <w:rPr>
          <w:rFonts w:cs="Arial"/>
          <w:color w:val="000000"/>
          <w:szCs w:val="32"/>
        </w:rPr>
        <w:t>s Manageme</w:t>
      </w:r>
      <w:r>
        <w:rPr>
          <w:rFonts w:cs="Arial"/>
          <w:color w:val="000000"/>
          <w:szCs w:val="32"/>
        </w:rPr>
        <w:t>nt.</w:t>
      </w:r>
    </w:p>
    <w:p w:rsidR="003738BA" w:rsidRDefault="003738BA" w:rsidP="001A257C">
      <w:pPr>
        <w:autoSpaceDE w:val="0"/>
        <w:autoSpaceDN w:val="0"/>
        <w:adjustRightInd w:val="0"/>
        <w:jc w:val="both"/>
        <w:rPr>
          <w:rFonts w:cs="Arial"/>
          <w:color w:val="000000"/>
          <w:szCs w:val="32"/>
        </w:rPr>
      </w:pPr>
    </w:p>
    <w:p w:rsidR="003738BA" w:rsidRPr="00F65152" w:rsidRDefault="00AB2314" w:rsidP="00AB2314">
      <w:pPr>
        <w:autoSpaceDE w:val="0"/>
        <w:autoSpaceDN w:val="0"/>
        <w:adjustRightInd w:val="0"/>
        <w:jc w:val="both"/>
        <w:rPr>
          <w:rFonts w:cs="Arial"/>
          <w:color w:val="000000"/>
          <w:szCs w:val="32"/>
        </w:rPr>
      </w:pPr>
      <w:r w:rsidRPr="00AB2314">
        <w:rPr>
          <w:rFonts w:cs="Arial"/>
          <w:color w:val="000000"/>
          <w:szCs w:val="32"/>
        </w:rPr>
        <w:t>The Chief Compliance Officer reports to the Chief Executive Officer and</w:t>
      </w:r>
      <w:r>
        <w:rPr>
          <w:rFonts w:cs="Arial"/>
          <w:color w:val="000000"/>
          <w:szCs w:val="32"/>
        </w:rPr>
        <w:t xml:space="preserve"> </w:t>
      </w:r>
      <w:r w:rsidRPr="00AB2314">
        <w:rPr>
          <w:rFonts w:cs="Arial"/>
          <w:color w:val="000000"/>
          <w:szCs w:val="32"/>
        </w:rPr>
        <w:t xml:space="preserve">is a member of the BNP Paribas Executive Committee. </w:t>
      </w:r>
      <w:r>
        <w:rPr>
          <w:rFonts w:cs="Arial"/>
          <w:color w:val="000000"/>
          <w:szCs w:val="32"/>
        </w:rPr>
        <w:t>The Chief Compliance Officer</w:t>
      </w:r>
      <w:r w:rsidRPr="00AB2314">
        <w:rPr>
          <w:rFonts w:cs="Arial"/>
          <w:color w:val="000000"/>
          <w:szCs w:val="32"/>
        </w:rPr>
        <w:t xml:space="preserve"> has direct</w:t>
      </w:r>
      <w:r>
        <w:rPr>
          <w:rFonts w:cs="Arial"/>
          <w:color w:val="000000"/>
          <w:szCs w:val="32"/>
        </w:rPr>
        <w:t xml:space="preserve"> </w:t>
      </w:r>
      <w:r w:rsidRPr="00AB2314">
        <w:rPr>
          <w:rFonts w:cs="Arial"/>
          <w:color w:val="000000"/>
          <w:szCs w:val="32"/>
        </w:rPr>
        <w:t>and independent a</w:t>
      </w:r>
      <w:r>
        <w:rPr>
          <w:rFonts w:cs="Arial"/>
          <w:color w:val="000000"/>
          <w:szCs w:val="32"/>
        </w:rPr>
        <w:t xml:space="preserve">ccess to the Board of directors. </w:t>
      </w:r>
      <w:r w:rsidRPr="00AB2314">
        <w:rPr>
          <w:rFonts w:cs="Arial"/>
          <w:color w:val="000000"/>
          <w:szCs w:val="32"/>
        </w:rPr>
        <w:t>The Chief Compliance Officer has no operational activity outside of</w:t>
      </w:r>
      <w:r>
        <w:rPr>
          <w:rFonts w:cs="Arial"/>
          <w:color w:val="000000"/>
          <w:szCs w:val="32"/>
        </w:rPr>
        <w:t xml:space="preserve"> </w:t>
      </w:r>
      <w:r w:rsidRPr="00AB2314">
        <w:rPr>
          <w:rFonts w:cs="Arial"/>
          <w:color w:val="000000"/>
          <w:szCs w:val="32"/>
        </w:rPr>
        <w:t>compliance and reputation risk and no commercial activity, which</w:t>
      </w:r>
      <w:r>
        <w:rPr>
          <w:rFonts w:cs="Arial"/>
          <w:color w:val="000000"/>
          <w:szCs w:val="32"/>
        </w:rPr>
        <w:t xml:space="preserve"> </w:t>
      </w:r>
      <w:r w:rsidRPr="00AB2314">
        <w:rPr>
          <w:rFonts w:cs="Arial"/>
          <w:color w:val="000000"/>
          <w:szCs w:val="32"/>
        </w:rPr>
        <w:t xml:space="preserve">guarantees </w:t>
      </w:r>
      <w:r>
        <w:rPr>
          <w:rFonts w:cs="Arial"/>
          <w:color w:val="000000"/>
          <w:szCs w:val="32"/>
        </w:rPr>
        <w:t>the</w:t>
      </w:r>
      <w:r w:rsidRPr="00AB2314">
        <w:rPr>
          <w:rFonts w:cs="Arial"/>
          <w:color w:val="000000"/>
          <w:szCs w:val="32"/>
        </w:rPr>
        <w:t xml:space="preserve"> independence of action. </w:t>
      </w:r>
    </w:p>
    <w:p w:rsidR="003738BA" w:rsidRPr="00F65152" w:rsidRDefault="003738BA" w:rsidP="001A257C">
      <w:pPr>
        <w:autoSpaceDE w:val="0"/>
        <w:autoSpaceDN w:val="0"/>
        <w:adjustRightInd w:val="0"/>
        <w:jc w:val="both"/>
        <w:rPr>
          <w:rFonts w:cs="Arial"/>
          <w:color w:val="000000"/>
          <w:szCs w:val="32"/>
        </w:rPr>
      </w:pPr>
    </w:p>
    <w:p w:rsidR="003738BA" w:rsidRPr="00F65152" w:rsidRDefault="003738BA" w:rsidP="001A257C">
      <w:pPr>
        <w:autoSpaceDE w:val="0"/>
        <w:autoSpaceDN w:val="0"/>
        <w:adjustRightInd w:val="0"/>
        <w:jc w:val="both"/>
        <w:rPr>
          <w:rFonts w:cs="Arial"/>
          <w:color w:val="000000"/>
          <w:szCs w:val="32"/>
        </w:rPr>
      </w:pPr>
    </w:p>
    <w:p w:rsidR="00C01F1A" w:rsidRPr="00893816" w:rsidRDefault="00C01F1A" w:rsidP="00F65152">
      <w:pPr>
        <w:pStyle w:val="Heading1"/>
        <w:rPr>
          <w:rFonts w:ascii="BNPP Rounded" w:hAnsi="BNPP Rounded"/>
          <w:b/>
          <w:sz w:val="32"/>
        </w:rPr>
      </w:pPr>
      <w:bookmarkStart w:id="8" w:name="_Toc104282206"/>
      <w:r w:rsidRPr="00893816">
        <w:rPr>
          <w:rFonts w:ascii="BNPP Rounded" w:hAnsi="BNPP Rounded"/>
          <w:b/>
          <w:sz w:val="32"/>
        </w:rPr>
        <w:lastRenderedPageBreak/>
        <w:t>CREDIT RISK</w:t>
      </w:r>
      <w:bookmarkEnd w:id="8"/>
    </w:p>
    <w:p w:rsidR="003738BA" w:rsidRPr="00F65152" w:rsidRDefault="003738BA" w:rsidP="003738BA">
      <w:pPr>
        <w:autoSpaceDE w:val="0"/>
        <w:autoSpaceDN w:val="0"/>
        <w:adjustRightInd w:val="0"/>
        <w:jc w:val="both"/>
        <w:rPr>
          <w:rFonts w:cs="Arial"/>
          <w:szCs w:val="32"/>
        </w:rPr>
      </w:pPr>
    </w:p>
    <w:p w:rsidR="003738BA" w:rsidRPr="00F65152" w:rsidRDefault="003738BA" w:rsidP="003738BA">
      <w:pPr>
        <w:autoSpaceDE w:val="0"/>
        <w:autoSpaceDN w:val="0"/>
        <w:adjustRightInd w:val="0"/>
        <w:jc w:val="both"/>
        <w:rPr>
          <w:rFonts w:cs="Arial"/>
          <w:szCs w:val="32"/>
        </w:rPr>
      </w:pPr>
      <w:r w:rsidRPr="00F65152">
        <w:rPr>
          <w:rFonts w:cs="Arial"/>
          <w:szCs w:val="32"/>
        </w:rPr>
        <w:t>Credit risk is the consequence resulting from the likelihood that a borrower or counterparty will fail to meet its obligations in accordance with agreed terms. The probability of default and the expected recovery on the loan or receivable in the event of default are key components of the credit quality assessment.</w:t>
      </w:r>
    </w:p>
    <w:p w:rsidR="003738BA" w:rsidRPr="00F65152" w:rsidRDefault="003738BA" w:rsidP="00283C6E">
      <w:pPr>
        <w:autoSpaceDE w:val="0"/>
        <w:autoSpaceDN w:val="0"/>
        <w:adjustRightInd w:val="0"/>
        <w:jc w:val="both"/>
        <w:rPr>
          <w:rFonts w:cs="Arial"/>
          <w:szCs w:val="32"/>
        </w:rPr>
      </w:pPr>
    </w:p>
    <w:p w:rsidR="00AA04E8" w:rsidRDefault="00AA04E8" w:rsidP="00AA04E8">
      <w:pPr>
        <w:autoSpaceDE w:val="0"/>
        <w:autoSpaceDN w:val="0"/>
        <w:adjustRightInd w:val="0"/>
        <w:jc w:val="both"/>
        <w:rPr>
          <w:rFonts w:cs="Arial"/>
          <w:b/>
          <w:szCs w:val="32"/>
          <w:u w:val="single"/>
        </w:rPr>
      </w:pPr>
      <w:r w:rsidRPr="00F65152">
        <w:rPr>
          <w:rFonts w:cs="Arial"/>
          <w:b/>
          <w:szCs w:val="32"/>
          <w:u w:val="single"/>
        </w:rPr>
        <w:t>Credit Risk Management</w:t>
      </w:r>
    </w:p>
    <w:p w:rsidR="00AA04E8" w:rsidRPr="00F65152" w:rsidRDefault="007D555C" w:rsidP="007D555C">
      <w:pPr>
        <w:autoSpaceDE w:val="0"/>
        <w:autoSpaceDN w:val="0"/>
        <w:adjustRightInd w:val="0"/>
        <w:spacing w:before="0" w:line="240" w:lineRule="exact"/>
        <w:ind w:left="288" w:right="216"/>
        <w:jc w:val="both"/>
        <w:rPr>
          <w:rFonts w:cs="Arial"/>
          <w:szCs w:val="32"/>
        </w:rPr>
      </w:pPr>
      <w:r w:rsidRPr="00F65152">
        <w:rPr>
          <w:rFonts w:cs="Arial"/>
          <w:szCs w:val="32"/>
        </w:rPr>
        <w:t>The Bank’s lending activities are governed by the Global Credit Policy. It applies to all Group activities that generate credit or counterparty risk. The Global Credit Policy provides general principles (including the risk assessment and decision-making process, adherence to the highest standards of compliance and ethics) applicable to all credit risk, as well as specific principles applicable to country risk, economic sector risks, clients selection and the transaction structures. It is supplemented by specific policies tailored to each type of business or counterparty. These policies are regularly updated in line with developments in the credit environment in which the Group operates</w:t>
      </w:r>
      <w:r w:rsidR="00AA04E8" w:rsidRPr="00F65152">
        <w:rPr>
          <w:rFonts w:cs="Arial"/>
          <w:szCs w:val="32"/>
        </w:rPr>
        <w:t>.</w:t>
      </w:r>
    </w:p>
    <w:p w:rsidR="00AA04E8" w:rsidRPr="00F65152" w:rsidRDefault="00AA04E8" w:rsidP="00283C6E">
      <w:pPr>
        <w:autoSpaceDE w:val="0"/>
        <w:autoSpaceDN w:val="0"/>
        <w:adjustRightInd w:val="0"/>
        <w:jc w:val="both"/>
        <w:rPr>
          <w:rFonts w:cs="Arial"/>
          <w:szCs w:val="32"/>
        </w:rPr>
      </w:pPr>
    </w:p>
    <w:p w:rsidR="00C01F1A" w:rsidRPr="00F65152" w:rsidRDefault="00C963A1" w:rsidP="007B28FA">
      <w:pPr>
        <w:autoSpaceDE w:val="0"/>
        <w:autoSpaceDN w:val="0"/>
        <w:adjustRightInd w:val="0"/>
        <w:jc w:val="both"/>
        <w:rPr>
          <w:rFonts w:cs="Arial"/>
          <w:color w:val="000000"/>
          <w:szCs w:val="32"/>
        </w:rPr>
      </w:pPr>
      <w:r w:rsidRPr="00490B00">
        <w:rPr>
          <w:rFonts w:cs="Arial"/>
          <w:szCs w:val="32"/>
        </w:rPr>
        <w:t xml:space="preserve">BNP Paribas </w:t>
      </w:r>
      <w:r w:rsidR="00D8600B" w:rsidRPr="00490B00">
        <w:rPr>
          <w:rFonts w:cs="Arial"/>
          <w:szCs w:val="32"/>
        </w:rPr>
        <w:t>UAE</w:t>
      </w:r>
      <w:r w:rsidRPr="00490B00">
        <w:rPr>
          <w:rFonts w:cs="Arial"/>
          <w:szCs w:val="32"/>
        </w:rPr>
        <w:t xml:space="preserve"> branch</w:t>
      </w:r>
      <w:r w:rsidR="00C01F1A" w:rsidRPr="00490B00">
        <w:rPr>
          <w:rFonts w:cs="Arial"/>
          <w:szCs w:val="32"/>
        </w:rPr>
        <w:t xml:space="preserve"> takes on exposure to credit risk, which is the risk that </w:t>
      </w:r>
      <w:r w:rsidR="001A257C" w:rsidRPr="00490B00">
        <w:rPr>
          <w:rFonts w:cs="Arial"/>
          <w:szCs w:val="32"/>
        </w:rPr>
        <w:t>a counter</w:t>
      </w:r>
      <w:r w:rsidR="0030162F" w:rsidRPr="00490B00">
        <w:rPr>
          <w:rFonts w:cs="Arial"/>
          <w:szCs w:val="32"/>
        </w:rPr>
        <w:t xml:space="preserve"> </w:t>
      </w:r>
      <w:r w:rsidR="001A257C" w:rsidRPr="00490B00">
        <w:rPr>
          <w:rFonts w:cs="Arial"/>
          <w:szCs w:val="32"/>
        </w:rPr>
        <w:t>party</w:t>
      </w:r>
      <w:r w:rsidR="00C01F1A" w:rsidRPr="00490B00">
        <w:rPr>
          <w:rFonts w:cs="Arial"/>
          <w:szCs w:val="32"/>
        </w:rPr>
        <w:t xml:space="preserve"> </w:t>
      </w:r>
      <w:r w:rsidR="00C01F1A" w:rsidRPr="00490B00">
        <w:rPr>
          <w:rFonts w:cs="Arial"/>
          <w:color w:val="000000"/>
          <w:szCs w:val="32"/>
        </w:rPr>
        <w:t>will cause a financial loss for the Branch by failing to discharge an obligation. Credit risk is the most important risk for the Branch’s business; Management therefore carefully manages its exposure to credit risk. Credit exposures arise principally in lending activities that lead to loans and advances, and investment activities that bring debt securities and other bills into the Branch’s asset portfolio. There is also credit risk in off-balance sheet financial instruments, such as loan commitments and guarantee commitments.</w:t>
      </w:r>
      <w:r w:rsidR="00C01F1A" w:rsidRPr="00F65152">
        <w:rPr>
          <w:rFonts w:cs="Arial"/>
          <w:color w:val="000000"/>
          <w:szCs w:val="32"/>
        </w:rPr>
        <w:t xml:space="preserve"> </w:t>
      </w:r>
    </w:p>
    <w:p w:rsidR="00C01F1A" w:rsidRDefault="00C01F1A" w:rsidP="001A257C">
      <w:pPr>
        <w:autoSpaceDE w:val="0"/>
        <w:autoSpaceDN w:val="0"/>
        <w:adjustRightInd w:val="0"/>
        <w:jc w:val="both"/>
        <w:rPr>
          <w:rFonts w:cs="Arial"/>
          <w:color w:val="000000"/>
          <w:szCs w:val="32"/>
        </w:rPr>
      </w:pPr>
    </w:p>
    <w:p w:rsidR="00F65152" w:rsidRDefault="00F65152" w:rsidP="001A257C">
      <w:pPr>
        <w:autoSpaceDE w:val="0"/>
        <w:autoSpaceDN w:val="0"/>
        <w:adjustRightInd w:val="0"/>
        <w:jc w:val="both"/>
        <w:rPr>
          <w:rFonts w:cs="Arial"/>
          <w:color w:val="000000"/>
          <w:szCs w:val="32"/>
        </w:rPr>
      </w:pPr>
    </w:p>
    <w:p w:rsidR="00767180" w:rsidRDefault="00767180" w:rsidP="00767180">
      <w:pPr>
        <w:widowControl/>
        <w:autoSpaceDE w:val="0"/>
        <w:autoSpaceDN w:val="0"/>
        <w:adjustRightInd w:val="0"/>
        <w:spacing w:before="0"/>
        <w:ind w:right="0"/>
        <w:rPr>
          <w:rFonts w:cs="Arial"/>
          <w:b/>
          <w:szCs w:val="32"/>
          <w:u w:val="single"/>
        </w:rPr>
      </w:pPr>
      <w:r w:rsidRPr="00F65152">
        <w:rPr>
          <w:rFonts w:cs="Arial"/>
          <w:b/>
          <w:szCs w:val="32"/>
          <w:u w:val="single"/>
        </w:rPr>
        <w:t>Monitoring exposures</w:t>
      </w:r>
    </w:p>
    <w:p w:rsidR="00767180" w:rsidRPr="00F65152" w:rsidRDefault="00D8600B" w:rsidP="00767180">
      <w:pPr>
        <w:autoSpaceDE w:val="0"/>
        <w:autoSpaceDN w:val="0"/>
        <w:adjustRightInd w:val="0"/>
        <w:jc w:val="both"/>
        <w:rPr>
          <w:rFonts w:cs="Arial"/>
          <w:szCs w:val="32"/>
        </w:rPr>
      </w:pPr>
      <w:r w:rsidRPr="00F65152">
        <w:rPr>
          <w:rFonts w:cs="Arial"/>
          <w:szCs w:val="32"/>
        </w:rPr>
        <w:t>A comprehensive risk monitoring system is organised around control units, which are responsible for ensuring that lending commitments comply with the loan approval decision, that credit risk reporting data are reliable and that risks are effectively monitored. Daily exception reports are produced and various early warning tools are used to identify early the deterioration of credit risks. The various monitoring levels are carried out under the supervision of RISK. Non-performing loans or those placed under credit watch (see Exposures, provisions and cost of risk) are overseen more closely via dedicated quarterly committee meetings (see the Governance part of section 5.3 Risk management). To supplement this mechanism, the General Management Doubtful Committee meets on a monthly basis to determine individual provisions for doubtful loans based on expected financial flows</w:t>
      </w:r>
    </w:p>
    <w:p w:rsidR="00D8600B" w:rsidRPr="00F65152" w:rsidRDefault="00D8600B" w:rsidP="00767180">
      <w:pPr>
        <w:autoSpaceDE w:val="0"/>
        <w:autoSpaceDN w:val="0"/>
        <w:adjustRightInd w:val="0"/>
        <w:jc w:val="both"/>
        <w:rPr>
          <w:rFonts w:cs="Arial"/>
          <w:szCs w:val="32"/>
        </w:rPr>
      </w:pPr>
    </w:p>
    <w:p w:rsidR="00D8600B" w:rsidRPr="00F65152" w:rsidRDefault="00D8600B" w:rsidP="00D8600B">
      <w:pPr>
        <w:autoSpaceDE w:val="0"/>
        <w:autoSpaceDN w:val="0"/>
        <w:adjustRightInd w:val="0"/>
        <w:jc w:val="both"/>
        <w:rPr>
          <w:rFonts w:cs="Arial"/>
          <w:szCs w:val="32"/>
        </w:rPr>
      </w:pPr>
      <w:r w:rsidRPr="00F65152">
        <w:rPr>
          <w:rFonts w:cs="Arial"/>
          <w:szCs w:val="32"/>
        </w:rPr>
        <w:t xml:space="preserve">The responsibilities of the control teams include the monitoring of exposures against approved authorisations, covenants, and guarantees. This allows the identification of any signs of deterioration against the risk profile approved by the Credit Committee. Control teams flag up (to the RISK teams and business units) any cases that fail to comply with Credit Committee decisions and oversee their resolution. In some cases, a specific alert is sent to the senior management of RISK and of the relevant business unit. These are mainly where exceptions remain unresolved and/ or where there are serious indications of deterioration in the risk profile compared with that approved by the Credit Committee. </w:t>
      </w:r>
    </w:p>
    <w:p w:rsidR="00D8600B" w:rsidRDefault="00D8600B" w:rsidP="00767180">
      <w:pPr>
        <w:autoSpaceDE w:val="0"/>
        <w:autoSpaceDN w:val="0"/>
        <w:adjustRightInd w:val="0"/>
        <w:jc w:val="both"/>
        <w:rPr>
          <w:rFonts w:cs="Arial"/>
          <w:szCs w:val="32"/>
        </w:rPr>
      </w:pPr>
    </w:p>
    <w:p w:rsidR="00F65152" w:rsidRPr="00F65152" w:rsidRDefault="00F65152" w:rsidP="00767180">
      <w:pPr>
        <w:autoSpaceDE w:val="0"/>
        <w:autoSpaceDN w:val="0"/>
        <w:adjustRightInd w:val="0"/>
        <w:jc w:val="both"/>
        <w:rPr>
          <w:rFonts w:cs="Arial"/>
          <w:szCs w:val="32"/>
        </w:rPr>
      </w:pPr>
    </w:p>
    <w:p w:rsidR="00D8600B" w:rsidRDefault="00D8600B" w:rsidP="00D8600B">
      <w:pPr>
        <w:widowControl/>
        <w:autoSpaceDE w:val="0"/>
        <w:autoSpaceDN w:val="0"/>
        <w:adjustRightInd w:val="0"/>
        <w:spacing w:before="0"/>
        <w:ind w:right="0"/>
        <w:rPr>
          <w:rFonts w:cs="Arial"/>
          <w:b/>
          <w:szCs w:val="32"/>
          <w:u w:val="single"/>
        </w:rPr>
      </w:pPr>
      <w:r w:rsidRPr="00F65152">
        <w:rPr>
          <w:rFonts w:cs="Arial"/>
          <w:b/>
          <w:szCs w:val="32"/>
          <w:u w:val="single"/>
        </w:rPr>
        <w:t>Overall portfolio management and monitoring</w:t>
      </w:r>
    </w:p>
    <w:p w:rsidR="00D8600B" w:rsidRPr="00F65152" w:rsidRDefault="00D8600B" w:rsidP="00767180">
      <w:pPr>
        <w:autoSpaceDE w:val="0"/>
        <w:autoSpaceDN w:val="0"/>
        <w:adjustRightInd w:val="0"/>
        <w:jc w:val="both"/>
        <w:rPr>
          <w:rFonts w:cs="Arial"/>
          <w:szCs w:val="32"/>
        </w:rPr>
      </w:pPr>
      <w:r w:rsidRPr="00F65152">
        <w:rPr>
          <w:rFonts w:cs="Arial"/>
          <w:szCs w:val="32"/>
        </w:rPr>
        <w:t>The selection and careful evaluation of individual risks taken are supported by a reporting system based on more aggregated portfolio levels in terms of division/business line, regions, industry, business/ product. The overall portfolio management policy, including concentration of risk by single name, industry and country, is based on this reporting system and Group Risk Committees review all reports and analyses produced</w:t>
      </w:r>
    </w:p>
    <w:p w:rsidR="00D8600B" w:rsidRDefault="00D8600B" w:rsidP="00767180">
      <w:pPr>
        <w:autoSpaceDE w:val="0"/>
        <w:autoSpaceDN w:val="0"/>
        <w:adjustRightInd w:val="0"/>
        <w:jc w:val="both"/>
        <w:rPr>
          <w:rFonts w:cs="Arial"/>
          <w:szCs w:val="32"/>
        </w:rPr>
      </w:pPr>
    </w:p>
    <w:p w:rsidR="00F65152" w:rsidRDefault="00F65152" w:rsidP="00767180">
      <w:pPr>
        <w:autoSpaceDE w:val="0"/>
        <w:autoSpaceDN w:val="0"/>
        <w:adjustRightInd w:val="0"/>
        <w:jc w:val="both"/>
        <w:rPr>
          <w:rFonts w:cs="Arial"/>
          <w:szCs w:val="32"/>
        </w:rPr>
      </w:pPr>
    </w:p>
    <w:p w:rsidR="006941BD" w:rsidRDefault="006941BD" w:rsidP="00767180">
      <w:pPr>
        <w:autoSpaceDE w:val="0"/>
        <w:autoSpaceDN w:val="0"/>
        <w:adjustRightInd w:val="0"/>
        <w:jc w:val="both"/>
        <w:rPr>
          <w:rFonts w:cs="Arial"/>
          <w:szCs w:val="32"/>
        </w:rPr>
      </w:pPr>
    </w:p>
    <w:p w:rsidR="006941BD" w:rsidRDefault="006941BD" w:rsidP="00767180">
      <w:pPr>
        <w:autoSpaceDE w:val="0"/>
        <w:autoSpaceDN w:val="0"/>
        <w:adjustRightInd w:val="0"/>
        <w:jc w:val="both"/>
        <w:rPr>
          <w:rFonts w:cs="Arial"/>
          <w:szCs w:val="32"/>
        </w:rPr>
      </w:pPr>
    </w:p>
    <w:p w:rsidR="006941BD" w:rsidRDefault="006941BD" w:rsidP="00767180">
      <w:pPr>
        <w:autoSpaceDE w:val="0"/>
        <w:autoSpaceDN w:val="0"/>
        <w:adjustRightInd w:val="0"/>
        <w:jc w:val="both"/>
        <w:rPr>
          <w:rFonts w:cs="Arial"/>
          <w:szCs w:val="32"/>
        </w:rPr>
      </w:pPr>
    </w:p>
    <w:p w:rsidR="006941BD" w:rsidRPr="00F65152" w:rsidRDefault="006941BD" w:rsidP="00767180">
      <w:pPr>
        <w:autoSpaceDE w:val="0"/>
        <w:autoSpaceDN w:val="0"/>
        <w:adjustRightInd w:val="0"/>
        <w:jc w:val="both"/>
        <w:rPr>
          <w:rFonts w:cs="Arial"/>
          <w:szCs w:val="32"/>
        </w:rPr>
      </w:pPr>
    </w:p>
    <w:p w:rsidR="00C01F1A" w:rsidRDefault="00C01F1A" w:rsidP="00101CC4">
      <w:pPr>
        <w:widowControl/>
        <w:autoSpaceDE w:val="0"/>
        <w:autoSpaceDN w:val="0"/>
        <w:adjustRightInd w:val="0"/>
        <w:spacing w:before="0"/>
        <w:ind w:right="0"/>
        <w:rPr>
          <w:rFonts w:cs="Arial"/>
          <w:b/>
          <w:szCs w:val="32"/>
          <w:u w:val="single"/>
        </w:rPr>
      </w:pPr>
      <w:r w:rsidRPr="00F65152">
        <w:rPr>
          <w:rFonts w:cs="Arial"/>
          <w:b/>
          <w:szCs w:val="32"/>
          <w:u w:val="single"/>
        </w:rPr>
        <w:t>Impairment and provisioning policies</w:t>
      </w:r>
    </w:p>
    <w:p w:rsidR="00FC4551" w:rsidRPr="00F65152" w:rsidRDefault="00FC4551" w:rsidP="00101CC4">
      <w:pPr>
        <w:widowControl/>
        <w:autoSpaceDE w:val="0"/>
        <w:autoSpaceDN w:val="0"/>
        <w:adjustRightInd w:val="0"/>
        <w:spacing w:before="0"/>
        <w:ind w:right="0"/>
        <w:rPr>
          <w:rFonts w:cs="Arial"/>
          <w:b/>
          <w:szCs w:val="32"/>
          <w:u w:val="single"/>
        </w:rPr>
      </w:pPr>
    </w:p>
    <w:p w:rsidR="00767180" w:rsidRPr="00F65152" w:rsidRDefault="00767180" w:rsidP="00101CC4">
      <w:pPr>
        <w:autoSpaceDE w:val="0"/>
        <w:autoSpaceDN w:val="0"/>
        <w:adjustRightInd w:val="0"/>
        <w:jc w:val="both"/>
        <w:rPr>
          <w:rFonts w:cs="Arial"/>
          <w:szCs w:val="32"/>
        </w:rPr>
      </w:pPr>
      <w:r w:rsidRPr="00F65152">
        <w:rPr>
          <w:rFonts w:cs="Arial"/>
          <w:szCs w:val="32"/>
        </w:rPr>
        <w:t>The Group applied the impairment procedures described below for all</w:t>
      </w:r>
      <w:r w:rsidR="00101CC4" w:rsidRPr="00F65152">
        <w:rPr>
          <w:rFonts w:cs="Arial"/>
          <w:szCs w:val="32"/>
        </w:rPr>
        <w:t xml:space="preserve"> </w:t>
      </w:r>
      <w:r w:rsidRPr="00F65152">
        <w:rPr>
          <w:rFonts w:cs="Arial"/>
          <w:szCs w:val="32"/>
        </w:rPr>
        <w:t>loans subjec</w:t>
      </w:r>
      <w:r w:rsidR="00101CC4" w:rsidRPr="00F65152">
        <w:rPr>
          <w:rFonts w:cs="Arial"/>
          <w:szCs w:val="32"/>
        </w:rPr>
        <w:t>t to impairment</w:t>
      </w:r>
      <w:r w:rsidRPr="00F65152">
        <w:rPr>
          <w:rFonts w:cs="Arial"/>
          <w:szCs w:val="32"/>
        </w:rPr>
        <w:t>:</w:t>
      </w:r>
    </w:p>
    <w:p w:rsidR="00101CC4" w:rsidRPr="00F65152" w:rsidRDefault="00101CC4" w:rsidP="00101CC4">
      <w:pPr>
        <w:autoSpaceDE w:val="0"/>
        <w:autoSpaceDN w:val="0"/>
        <w:adjustRightInd w:val="0"/>
        <w:jc w:val="both"/>
        <w:rPr>
          <w:rFonts w:cs="Arial"/>
          <w:szCs w:val="32"/>
        </w:rPr>
      </w:pPr>
    </w:p>
    <w:p w:rsidR="00101CC4" w:rsidRPr="00F65152" w:rsidRDefault="00101CC4" w:rsidP="00F65152">
      <w:pPr>
        <w:pStyle w:val="ListParagraph"/>
        <w:numPr>
          <w:ilvl w:val="0"/>
          <w:numId w:val="22"/>
        </w:numPr>
        <w:autoSpaceDE w:val="0"/>
        <w:autoSpaceDN w:val="0"/>
        <w:adjustRightInd w:val="0"/>
        <w:spacing w:after="0"/>
        <w:jc w:val="both"/>
        <w:rPr>
          <w:rFonts w:eastAsia="BNPP Sans Light" w:cs="Arial"/>
          <w:sz w:val="20"/>
          <w:szCs w:val="32"/>
          <w:lang w:eastAsia="en-US"/>
        </w:rPr>
      </w:pPr>
      <w:r w:rsidRPr="00F65152">
        <w:rPr>
          <w:rFonts w:eastAsia="BNPP Sans Light" w:cs="Arial"/>
          <w:sz w:val="20"/>
          <w:szCs w:val="32"/>
          <w:lang w:eastAsia="en-US"/>
        </w:rPr>
        <w:t>Impairment</w:t>
      </w:r>
      <w:r w:rsidR="00767180" w:rsidRPr="00F65152">
        <w:rPr>
          <w:rFonts w:eastAsia="BNPP Sans Light" w:cs="Arial"/>
          <w:sz w:val="20"/>
          <w:szCs w:val="32"/>
          <w:lang w:eastAsia="en-US"/>
        </w:rPr>
        <w:t xml:space="preserve"> valuation procedure for performing loans:</w:t>
      </w:r>
    </w:p>
    <w:p w:rsidR="00101CC4" w:rsidRPr="00F65152" w:rsidRDefault="00D8600B" w:rsidP="00101CC4">
      <w:pPr>
        <w:autoSpaceDE w:val="0"/>
        <w:autoSpaceDN w:val="0"/>
        <w:adjustRightInd w:val="0"/>
        <w:jc w:val="both"/>
        <w:rPr>
          <w:rFonts w:cs="Arial"/>
          <w:szCs w:val="32"/>
        </w:rPr>
      </w:pPr>
      <w:r w:rsidRPr="00F65152">
        <w:rPr>
          <w:rFonts w:cs="Arial"/>
          <w:szCs w:val="32"/>
        </w:rPr>
        <w:t>A loss allowance for loans in stage 1 or stage 2 is constituted by each operating division based on an estimation of expected credit losses. This is determined on a quarterly basis during a committee meeting attended by the Chief Financial Officer and Chief Risk Officer of each operating division. Estimations of expected credit losses result from the default risk in the coming twelve months for financial instruments whose credit risk has not significantly increased since initial recognition (stage 1) or upon maturity for unimpaired loans whose credit risk has significantly increased since initial recognition (stage 2). A tool used by most of the Group’s business lines enables calculations to be performed based on the parameters of the rating system described below</w:t>
      </w:r>
    </w:p>
    <w:p w:rsidR="00D8600B" w:rsidRPr="00F65152" w:rsidRDefault="00D8600B" w:rsidP="00101CC4">
      <w:pPr>
        <w:autoSpaceDE w:val="0"/>
        <w:autoSpaceDN w:val="0"/>
        <w:adjustRightInd w:val="0"/>
        <w:jc w:val="both"/>
        <w:rPr>
          <w:rFonts w:cs="Arial"/>
          <w:szCs w:val="32"/>
        </w:rPr>
      </w:pPr>
    </w:p>
    <w:p w:rsidR="00101CC4" w:rsidRPr="00F65152" w:rsidRDefault="00101CC4" w:rsidP="00F65152">
      <w:pPr>
        <w:pStyle w:val="ListParagraph"/>
        <w:numPr>
          <w:ilvl w:val="0"/>
          <w:numId w:val="22"/>
        </w:numPr>
        <w:autoSpaceDE w:val="0"/>
        <w:autoSpaceDN w:val="0"/>
        <w:adjustRightInd w:val="0"/>
        <w:spacing w:after="0"/>
        <w:jc w:val="both"/>
        <w:rPr>
          <w:rFonts w:eastAsia="BNPP Sans Light" w:cs="Arial"/>
          <w:sz w:val="20"/>
          <w:szCs w:val="32"/>
          <w:lang w:eastAsia="en-US"/>
        </w:rPr>
      </w:pPr>
      <w:r w:rsidRPr="00F65152">
        <w:rPr>
          <w:rFonts w:eastAsia="BNPP Sans Light" w:cs="Arial"/>
          <w:sz w:val="20"/>
          <w:szCs w:val="32"/>
          <w:lang w:eastAsia="en-US"/>
        </w:rPr>
        <w:t>I</w:t>
      </w:r>
      <w:r w:rsidR="00767180" w:rsidRPr="00F65152">
        <w:rPr>
          <w:rFonts w:eastAsia="BNPP Sans Light" w:cs="Arial"/>
          <w:sz w:val="20"/>
          <w:szCs w:val="32"/>
          <w:lang w:eastAsia="en-US"/>
        </w:rPr>
        <w:t>mpairment valuation procedure for defaulted exposures:</w:t>
      </w:r>
    </w:p>
    <w:p w:rsidR="00C01F1A" w:rsidRDefault="00767180" w:rsidP="00101CC4">
      <w:pPr>
        <w:autoSpaceDE w:val="0"/>
        <w:autoSpaceDN w:val="0"/>
        <w:adjustRightInd w:val="0"/>
        <w:jc w:val="both"/>
        <w:rPr>
          <w:rFonts w:cs="Arial"/>
          <w:szCs w:val="32"/>
        </w:rPr>
      </w:pPr>
      <w:r w:rsidRPr="00F65152">
        <w:rPr>
          <w:rFonts w:cs="Arial"/>
          <w:szCs w:val="32"/>
        </w:rPr>
        <w:t>RISK reviews corporate, bank and sovereign loans in default at monthly</w:t>
      </w:r>
      <w:r w:rsidR="00101CC4" w:rsidRPr="00F65152">
        <w:rPr>
          <w:rFonts w:cs="Arial"/>
          <w:szCs w:val="32"/>
        </w:rPr>
        <w:t xml:space="preserve"> </w:t>
      </w:r>
      <w:r w:rsidRPr="00F65152">
        <w:rPr>
          <w:rFonts w:cs="Arial"/>
          <w:szCs w:val="32"/>
        </w:rPr>
        <w:t>intervals to determine the amount of any decrease in value to be</w:t>
      </w:r>
      <w:r w:rsidR="00101CC4" w:rsidRPr="00F65152">
        <w:rPr>
          <w:rFonts w:cs="Arial"/>
          <w:szCs w:val="32"/>
        </w:rPr>
        <w:t xml:space="preserve"> </w:t>
      </w:r>
      <w:r w:rsidRPr="00F65152">
        <w:rPr>
          <w:rFonts w:cs="Arial"/>
          <w:szCs w:val="32"/>
        </w:rPr>
        <w:t>recognised, either by reducing the carrying amount or by recording a</w:t>
      </w:r>
      <w:r w:rsidR="00101CC4" w:rsidRPr="00F65152">
        <w:rPr>
          <w:rFonts w:cs="Arial"/>
          <w:szCs w:val="32"/>
        </w:rPr>
        <w:t xml:space="preserve"> </w:t>
      </w:r>
      <w:r w:rsidRPr="00F65152">
        <w:rPr>
          <w:rFonts w:cs="Arial"/>
          <w:szCs w:val="32"/>
        </w:rPr>
        <w:t>provision for impairment, in accordance with applicable accounting</w:t>
      </w:r>
      <w:r w:rsidR="00101CC4" w:rsidRPr="00F65152">
        <w:rPr>
          <w:rFonts w:cs="Arial"/>
          <w:szCs w:val="32"/>
        </w:rPr>
        <w:t xml:space="preserve"> standards. </w:t>
      </w:r>
      <w:r w:rsidRPr="00F65152">
        <w:rPr>
          <w:rFonts w:cs="Arial"/>
          <w:szCs w:val="32"/>
        </w:rPr>
        <w:t>The Group uses various methodologies (expertopinions, statistical calculations) for defaulted exposures to retail</w:t>
      </w:r>
      <w:r w:rsidR="00101CC4" w:rsidRPr="00F65152">
        <w:rPr>
          <w:rFonts w:cs="Arial"/>
          <w:szCs w:val="32"/>
        </w:rPr>
        <w:t xml:space="preserve"> </w:t>
      </w:r>
      <w:r w:rsidRPr="00F65152">
        <w:rPr>
          <w:rFonts w:cs="Arial"/>
          <w:szCs w:val="32"/>
        </w:rPr>
        <w:t>customers. These impairments are referred to as stage 3. The amount</w:t>
      </w:r>
      <w:r w:rsidR="00101CC4" w:rsidRPr="00F65152">
        <w:rPr>
          <w:rFonts w:cs="Arial"/>
          <w:szCs w:val="32"/>
        </w:rPr>
        <w:t xml:space="preserve"> </w:t>
      </w:r>
      <w:r w:rsidRPr="00F65152">
        <w:rPr>
          <w:rFonts w:cs="Arial"/>
          <w:szCs w:val="32"/>
        </w:rPr>
        <w:t>of this impairment loss is based on the present value of probable</w:t>
      </w:r>
      <w:r w:rsidR="00101CC4" w:rsidRPr="00F65152">
        <w:rPr>
          <w:rFonts w:cs="Arial"/>
          <w:szCs w:val="32"/>
        </w:rPr>
        <w:t xml:space="preserve"> </w:t>
      </w:r>
      <w:r w:rsidRPr="00F65152">
        <w:rPr>
          <w:rFonts w:cs="Arial"/>
          <w:szCs w:val="32"/>
        </w:rPr>
        <w:t>recovered net cash flows, including from the possible realisation of</w:t>
      </w:r>
      <w:r w:rsidR="00101CC4" w:rsidRPr="00F65152">
        <w:rPr>
          <w:rFonts w:cs="Arial"/>
          <w:szCs w:val="32"/>
        </w:rPr>
        <w:t xml:space="preserve"> </w:t>
      </w:r>
      <w:r w:rsidRPr="00F65152">
        <w:rPr>
          <w:rFonts w:cs="Arial"/>
          <w:szCs w:val="32"/>
        </w:rPr>
        <w:t>the collateral held.</w:t>
      </w:r>
    </w:p>
    <w:p w:rsidR="00F65152" w:rsidRPr="00F65152" w:rsidRDefault="00F65152" w:rsidP="00101CC4">
      <w:pPr>
        <w:autoSpaceDE w:val="0"/>
        <w:autoSpaceDN w:val="0"/>
        <w:adjustRightInd w:val="0"/>
        <w:jc w:val="both"/>
        <w:rPr>
          <w:rFonts w:cs="Arial"/>
          <w:szCs w:val="32"/>
        </w:rPr>
      </w:pPr>
    </w:p>
    <w:p w:rsidR="00F65152" w:rsidRDefault="002338C9" w:rsidP="00830F1B">
      <w:pPr>
        <w:autoSpaceDE w:val="0"/>
        <w:autoSpaceDN w:val="0"/>
        <w:adjustRightInd w:val="0"/>
        <w:jc w:val="both"/>
        <w:rPr>
          <w:rFonts w:cs="Arial"/>
          <w:szCs w:val="32"/>
        </w:rPr>
      </w:pPr>
      <w:r w:rsidRPr="00F65152">
        <w:rPr>
          <w:noProof/>
          <w:lang w:val="en-US" w:eastAsia="ja-JP"/>
        </w:rPr>
        <w:drawing>
          <wp:anchor distT="0" distB="0" distL="114300" distR="114300" simplePos="0" relativeHeight="251658240" behindDoc="1" locked="0" layoutInCell="1" allowOverlap="1">
            <wp:simplePos x="0" y="0"/>
            <wp:positionH relativeFrom="column">
              <wp:posOffset>4448175</wp:posOffset>
            </wp:positionH>
            <wp:positionV relativeFrom="paragraph">
              <wp:posOffset>109855</wp:posOffset>
            </wp:positionV>
            <wp:extent cx="2287905" cy="34429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87905" cy="3442970"/>
                    </a:xfrm>
                    <a:prstGeom prst="rect">
                      <a:avLst/>
                    </a:prstGeom>
                  </pic:spPr>
                </pic:pic>
              </a:graphicData>
            </a:graphic>
            <wp14:sizeRelH relativeFrom="page">
              <wp14:pctWidth>0</wp14:pctWidth>
            </wp14:sizeRelH>
            <wp14:sizeRelV relativeFrom="page">
              <wp14:pctHeight>0</wp14:pctHeight>
            </wp14:sizeRelV>
          </wp:anchor>
        </w:drawing>
      </w:r>
    </w:p>
    <w:p w:rsidR="00767180" w:rsidRDefault="00F65152" w:rsidP="00D03B94">
      <w:pPr>
        <w:widowControl/>
        <w:autoSpaceDE w:val="0"/>
        <w:autoSpaceDN w:val="0"/>
        <w:adjustRightInd w:val="0"/>
        <w:spacing w:before="0"/>
        <w:ind w:right="0"/>
        <w:rPr>
          <w:rFonts w:cs="Arial"/>
          <w:b/>
          <w:szCs w:val="32"/>
          <w:u w:val="single"/>
        </w:rPr>
      </w:pPr>
      <w:r w:rsidRPr="00F65152">
        <w:rPr>
          <w:rFonts w:cs="Arial"/>
          <w:b/>
          <w:szCs w:val="32"/>
          <w:u w:val="single"/>
        </w:rPr>
        <w:t>Rating System</w:t>
      </w:r>
    </w:p>
    <w:p w:rsidR="00FC4551" w:rsidRPr="00F65152" w:rsidRDefault="00FC4551" w:rsidP="00D03B94">
      <w:pPr>
        <w:widowControl/>
        <w:autoSpaceDE w:val="0"/>
        <w:autoSpaceDN w:val="0"/>
        <w:adjustRightInd w:val="0"/>
        <w:spacing w:before="0"/>
        <w:ind w:right="0"/>
        <w:rPr>
          <w:rFonts w:cs="Arial"/>
          <w:b/>
          <w:szCs w:val="32"/>
          <w:u w:val="single"/>
        </w:rPr>
      </w:pPr>
    </w:p>
    <w:p w:rsidR="00767180" w:rsidRPr="00F65152" w:rsidRDefault="00767180" w:rsidP="00CD1235">
      <w:pPr>
        <w:autoSpaceDE w:val="0"/>
        <w:autoSpaceDN w:val="0"/>
        <w:adjustRightInd w:val="0"/>
        <w:spacing w:before="0"/>
        <w:jc w:val="both"/>
        <w:rPr>
          <w:rFonts w:cs="Arial"/>
          <w:szCs w:val="32"/>
        </w:rPr>
      </w:pPr>
      <w:r w:rsidRPr="00F65152">
        <w:rPr>
          <w:rFonts w:cs="Arial"/>
          <w:szCs w:val="32"/>
        </w:rPr>
        <w:t>Each counterparty is rated internally by the Group using uniform</w:t>
      </w:r>
      <w:r w:rsidR="00D03B94" w:rsidRPr="00F65152">
        <w:rPr>
          <w:rFonts w:cs="Arial"/>
          <w:szCs w:val="32"/>
        </w:rPr>
        <w:t xml:space="preserve"> </w:t>
      </w:r>
      <w:r w:rsidRPr="00F65152">
        <w:rPr>
          <w:rFonts w:cs="Arial"/>
          <w:szCs w:val="32"/>
        </w:rPr>
        <w:t>principles, regardless of the approach used to calculate regulatory capital</w:t>
      </w:r>
      <w:r w:rsidR="00D03B94" w:rsidRPr="00F65152">
        <w:rPr>
          <w:rFonts w:cs="Arial"/>
          <w:szCs w:val="32"/>
        </w:rPr>
        <w:t xml:space="preserve"> </w:t>
      </w:r>
      <w:r w:rsidRPr="00F65152">
        <w:rPr>
          <w:rFonts w:cs="Arial"/>
          <w:szCs w:val="32"/>
        </w:rPr>
        <w:t>requirements.</w:t>
      </w:r>
      <w:r w:rsidR="00D8600B" w:rsidRPr="00CD1235">
        <w:rPr>
          <w:rFonts w:cs="Arial"/>
          <w:szCs w:val="32"/>
        </w:rPr>
        <w:t xml:space="preserve"> </w:t>
      </w:r>
    </w:p>
    <w:p w:rsidR="00CD1235" w:rsidRDefault="00767180" w:rsidP="00CD1235">
      <w:pPr>
        <w:autoSpaceDE w:val="0"/>
        <w:autoSpaceDN w:val="0"/>
        <w:adjustRightInd w:val="0"/>
        <w:spacing w:before="0"/>
        <w:jc w:val="both"/>
        <w:rPr>
          <w:rFonts w:cs="Arial"/>
          <w:szCs w:val="32"/>
        </w:rPr>
      </w:pPr>
      <w:r w:rsidRPr="00F65152">
        <w:rPr>
          <w:rFonts w:cs="Arial"/>
          <w:szCs w:val="32"/>
        </w:rPr>
        <w:t>The Bank has a comprehensive internal rating system compliant</w:t>
      </w:r>
      <w:r w:rsidR="00D03B94" w:rsidRPr="00F65152">
        <w:rPr>
          <w:rFonts w:cs="Arial"/>
          <w:szCs w:val="32"/>
        </w:rPr>
        <w:t xml:space="preserve"> </w:t>
      </w:r>
      <w:r w:rsidRPr="00F65152">
        <w:rPr>
          <w:rFonts w:cs="Arial"/>
          <w:szCs w:val="32"/>
        </w:rPr>
        <w:t>with regulatory requirements regarding capital adequacy. A periodic</w:t>
      </w:r>
      <w:r w:rsidR="00D03B94" w:rsidRPr="00F65152">
        <w:rPr>
          <w:rFonts w:cs="Arial"/>
          <w:szCs w:val="32"/>
        </w:rPr>
        <w:t xml:space="preserve"> </w:t>
      </w:r>
      <w:r w:rsidRPr="00F65152">
        <w:rPr>
          <w:rFonts w:cs="Arial"/>
          <w:szCs w:val="32"/>
        </w:rPr>
        <w:t>assessment and control process has been deployed within the Bank to</w:t>
      </w:r>
      <w:r w:rsidR="00D03B94" w:rsidRPr="00F65152">
        <w:rPr>
          <w:rFonts w:cs="Arial"/>
          <w:szCs w:val="32"/>
        </w:rPr>
        <w:t xml:space="preserve"> </w:t>
      </w:r>
      <w:r w:rsidRPr="00F65152">
        <w:rPr>
          <w:rFonts w:cs="Arial"/>
          <w:szCs w:val="32"/>
        </w:rPr>
        <w:t>ensure that the system is appropriate and correctly implemented.</w:t>
      </w:r>
      <w:r w:rsidR="00CD1235">
        <w:rPr>
          <w:rFonts w:cs="Arial"/>
          <w:szCs w:val="32"/>
        </w:rPr>
        <w:t xml:space="preserve"> </w:t>
      </w:r>
    </w:p>
    <w:p w:rsidR="00CD1235" w:rsidRDefault="00CD1235" w:rsidP="00CD1235">
      <w:pPr>
        <w:autoSpaceDE w:val="0"/>
        <w:autoSpaceDN w:val="0"/>
        <w:adjustRightInd w:val="0"/>
        <w:spacing w:before="0"/>
        <w:jc w:val="both"/>
        <w:rPr>
          <w:rFonts w:cs="Arial"/>
          <w:szCs w:val="32"/>
        </w:rPr>
      </w:pPr>
    </w:p>
    <w:p w:rsidR="00767180" w:rsidRPr="00F65152" w:rsidRDefault="00CD1235" w:rsidP="00FC4551">
      <w:pPr>
        <w:autoSpaceDE w:val="0"/>
        <w:autoSpaceDN w:val="0"/>
        <w:adjustRightInd w:val="0"/>
        <w:spacing w:before="0"/>
        <w:ind w:left="288" w:right="216"/>
        <w:jc w:val="both"/>
        <w:rPr>
          <w:rFonts w:cs="Arial"/>
          <w:szCs w:val="32"/>
        </w:rPr>
      </w:pPr>
      <w:r w:rsidRPr="00CD1235">
        <w:rPr>
          <w:rFonts w:cs="Arial"/>
          <w:szCs w:val="32"/>
        </w:rPr>
        <w:t>The Group has developed an indicative equivalence between the</w:t>
      </w:r>
      <w:r>
        <w:rPr>
          <w:rFonts w:cs="Arial"/>
          <w:szCs w:val="32"/>
        </w:rPr>
        <w:t xml:space="preserve"> </w:t>
      </w:r>
      <w:r w:rsidRPr="00CD1235">
        <w:rPr>
          <w:rFonts w:cs="Arial"/>
          <w:szCs w:val="32"/>
        </w:rPr>
        <w:t>Bank</w:t>
      </w:r>
      <w:r w:rsidRPr="00CD1235">
        <w:rPr>
          <w:rFonts w:cs="Arial" w:hint="eastAsia"/>
          <w:szCs w:val="32"/>
        </w:rPr>
        <w:t>’</w:t>
      </w:r>
      <w:r w:rsidRPr="00CD1235">
        <w:rPr>
          <w:rFonts w:cs="Arial"/>
          <w:szCs w:val="32"/>
        </w:rPr>
        <w:t>s internal ratings and the long-term issuer ratings assigned by</w:t>
      </w:r>
      <w:r>
        <w:rPr>
          <w:rFonts w:cs="Arial"/>
          <w:szCs w:val="32"/>
        </w:rPr>
        <w:t xml:space="preserve"> </w:t>
      </w:r>
      <w:r w:rsidRPr="00CD1235">
        <w:rPr>
          <w:rFonts w:cs="Arial"/>
          <w:szCs w:val="32"/>
        </w:rPr>
        <w:t xml:space="preserve">the major rating agencies. </w:t>
      </w:r>
    </w:p>
    <w:p w:rsidR="00767180" w:rsidRPr="00F65152" w:rsidRDefault="00767180" w:rsidP="00D03B94">
      <w:pPr>
        <w:autoSpaceDE w:val="0"/>
        <w:autoSpaceDN w:val="0"/>
        <w:adjustRightInd w:val="0"/>
        <w:jc w:val="center"/>
        <w:rPr>
          <w:rFonts w:cs="Arial"/>
          <w:color w:val="000000"/>
          <w:szCs w:val="32"/>
        </w:rPr>
      </w:pPr>
    </w:p>
    <w:p w:rsidR="00830F1B" w:rsidRPr="00F65152" w:rsidRDefault="00830F1B" w:rsidP="00830F1B">
      <w:pPr>
        <w:autoSpaceDE w:val="0"/>
        <w:autoSpaceDN w:val="0"/>
        <w:adjustRightInd w:val="0"/>
        <w:jc w:val="both"/>
        <w:rPr>
          <w:rFonts w:cs="Arial"/>
          <w:color w:val="000000"/>
          <w:szCs w:val="32"/>
        </w:rPr>
      </w:pPr>
    </w:p>
    <w:p w:rsidR="00F65152" w:rsidRDefault="00F65152" w:rsidP="00830F1B">
      <w:pPr>
        <w:autoSpaceDE w:val="0"/>
        <w:autoSpaceDN w:val="0"/>
        <w:adjustRightInd w:val="0"/>
        <w:jc w:val="both"/>
        <w:rPr>
          <w:rFonts w:cs="Arial"/>
          <w:color w:val="000000"/>
          <w:szCs w:val="32"/>
        </w:rPr>
      </w:pPr>
    </w:p>
    <w:p w:rsidR="00F65152" w:rsidRDefault="00F65152" w:rsidP="00830F1B">
      <w:pPr>
        <w:autoSpaceDE w:val="0"/>
        <w:autoSpaceDN w:val="0"/>
        <w:adjustRightInd w:val="0"/>
        <w:jc w:val="both"/>
        <w:rPr>
          <w:rFonts w:cs="Arial"/>
          <w:color w:val="000000"/>
          <w:szCs w:val="32"/>
        </w:rPr>
      </w:pPr>
    </w:p>
    <w:p w:rsidR="00F65152" w:rsidRDefault="00F65152" w:rsidP="00830F1B">
      <w:pPr>
        <w:autoSpaceDE w:val="0"/>
        <w:autoSpaceDN w:val="0"/>
        <w:adjustRightInd w:val="0"/>
        <w:jc w:val="both"/>
        <w:rPr>
          <w:rFonts w:cs="Arial"/>
          <w:color w:val="000000"/>
          <w:szCs w:val="32"/>
        </w:rPr>
      </w:pPr>
    </w:p>
    <w:p w:rsidR="002338C9" w:rsidRDefault="002338C9" w:rsidP="00830F1B">
      <w:pPr>
        <w:autoSpaceDE w:val="0"/>
        <w:autoSpaceDN w:val="0"/>
        <w:adjustRightInd w:val="0"/>
        <w:jc w:val="both"/>
        <w:rPr>
          <w:rFonts w:cs="Arial"/>
          <w:color w:val="000000"/>
          <w:szCs w:val="32"/>
        </w:rPr>
      </w:pPr>
    </w:p>
    <w:p w:rsidR="00830F1B" w:rsidRDefault="00830F1B" w:rsidP="00830F1B">
      <w:pPr>
        <w:autoSpaceDE w:val="0"/>
        <w:autoSpaceDN w:val="0"/>
        <w:adjustRightInd w:val="0"/>
        <w:jc w:val="both"/>
        <w:rPr>
          <w:rFonts w:cs="Arial"/>
          <w:color w:val="000000"/>
          <w:szCs w:val="32"/>
        </w:rPr>
      </w:pPr>
    </w:p>
    <w:p w:rsidR="001A4D71" w:rsidRPr="00F65152" w:rsidRDefault="001A4D71" w:rsidP="00830F1B">
      <w:pPr>
        <w:autoSpaceDE w:val="0"/>
        <w:autoSpaceDN w:val="0"/>
        <w:adjustRightInd w:val="0"/>
        <w:jc w:val="both"/>
        <w:rPr>
          <w:rFonts w:cs="Arial"/>
          <w:color w:val="000000"/>
          <w:szCs w:val="32"/>
        </w:rPr>
      </w:pPr>
    </w:p>
    <w:p w:rsidR="00C01F1A" w:rsidRPr="00F65152" w:rsidRDefault="00C01F1A" w:rsidP="00754B72">
      <w:pPr>
        <w:autoSpaceDE w:val="0"/>
        <w:autoSpaceDN w:val="0"/>
        <w:adjustRightInd w:val="0"/>
        <w:jc w:val="both"/>
        <w:rPr>
          <w:rFonts w:cs="Arial"/>
          <w:szCs w:val="32"/>
          <w:u w:val="single"/>
        </w:rPr>
      </w:pPr>
      <w:r w:rsidRPr="00F65152">
        <w:rPr>
          <w:rFonts w:cs="Arial"/>
          <w:b/>
          <w:szCs w:val="32"/>
          <w:u w:val="single"/>
        </w:rPr>
        <w:t xml:space="preserve">Credit risk </w:t>
      </w:r>
      <w:r w:rsidR="009D6BFA" w:rsidRPr="00F65152">
        <w:rPr>
          <w:rFonts w:cs="Arial"/>
          <w:b/>
          <w:szCs w:val="32"/>
          <w:u w:val="single"/>
        </w:rPr>
        <w:t>as of 31 Dec 202</w:t>
      </w:r>
      <w:r w:rsidR="00D8600B" w:rsidRPr="00F65152">
        <w:rPr>
          <w:rFonts w:cs="Arial"/>
          <w:b/>
          <w:szCs w:val="32"/>
          <w:u w:val="single"/>
        </w:rPr>
        <w:t>1</w:t>
      </w:r>
      <w:r w:rsidR="00D03B94" w:rsidRPr="00F65152">
        <w:rPr>
          <w:rFonts w:cs="Arial"/>
          <w:b/>
          <w:szCs w:val="32"/>
          <w:u w:val="single"/>
        </w:rPr>
        <w:t>:</w:t>
      </w:r>
    </w:p>
    <w:p w:rsidR="001A4D71" w:rsidRPr="00F65152" w:rsidRDefault="00CE7C7C" w:rsidP="001A4D71">
      <w:pPr>
        <w:autoSpaceDE w:val="0"/>
        <w:autoSpaceDN w:val="0"/>
        <w:adjustRightInd w:val="0"/>
        <w:jc w:val="both"/>
        <w:rPr>
          <w:rFonts w:cs="Arial"/>
          <w:b/>
          <w:color w:val="000000"/>
          <w:szCs w:val="32"/>
        </w:rPr>
      </w:pPr>
      <w:r>
        <w:rPr>
          <w:rFonts w:cs="Arial"/>
          <w:color w:val="000000"/>
          <w:szCs w:val="32"/>
        </w:rPr>
        <w:t>The RWA relating to credit risk as</w:t>
      </w:r>
      <w:r w:rsidR="00C01F1A" w:rsidRPr="00F65152">
        <w:rPr>
          <w:rFonts w:cs="Arial"/>
          <w:color w:val="000000"/>
          <w:szCs w:val="32"/>
        </w:rPr>
        <w:t xml:space="preserve"> at 31 December </w:t>
      </w:r>
      <w:r w:rsidR="009D6BFA" w:rsidRPr="00F65152">
        <w:rPr>
          <w:rFonts w:cs="Arial"/>
          <w:color w:val="000000"/>
          <w:szCs w:val="32"/>
        </w:rPr>
        <w:t>202</w:t>
      </w:r>
      <w:r w:rsidR="00D8600B" w:rsidRPr="00F65152">
        <w:rPr>
          <w:rFonts w:cs="Arial"/>
          <w:color w:val="000000"/>
          <w:szCs w:val="32"/>
        </w:rPr>
        <w:t>1</w:t>
      </w:r>
      <w:r w:rsidR="00754B72" w:rsidRPr="00F65152">
        <w:rPr>
          <w:rFonts w:cs="Arial"/>
          <w:color w:val="000000"/>
          <w:szCs w:val="32"/>
        </w:rPr>
        <w:t xml:space="preserve"> and comparative information for 31 December 20</w:t>
      </w:r>
      <w:r w:rsidR="00D8600B" w:rsidRPr="00F65152">
        <w:rPr>
          <w:rFonts w:cs="Arial"/>
          <w:color w:val="000000"/>
          <w:szCs w:val="32"/>
        </w:rPr>
        <w:t>20</w:t>
      </w:r>
      <w:r w:rsidR="00754B72" w:rsidRPr="00F65152">
        <w:rPr>
          <w:rFonts w:cs="Arial"/>
          <w:color w:val="000000"/>
          <w:szCs w:val="32"/>
        </w:rPr>
        <w:t xml:space="preserve"> </w:t>
      </w:r>
      <w:r w:rsidR="00C01F1A" w:rsidRPr="00F65152">
        <w:rPr>
          <w:rFonts w:cs="Arial"/>
          <w:color w:val="000000"/>
          <w:szCs w:val="32"/>
        </w:rPr>
        <w:t>are reflected below:</w:t>
      </w:r>
    </w:p>
    <w:p w:rsidR="00D8600B" w:rsidRPr="00F65152" w:rsidRDefault="00CE7C7C" w:rsidP="00CE7C7C">
      <w:pPr>
        <w:autoSpaceDE w:val="0"/>
        <w:autoSpaceDN w:val="0"/>
        <w:adjustRightInd w:val="0"/>
        <w:jc w:val="center"/>
        <w:rPr>
          <w:rFonts w:cs="Arial"/>
          <w:b/>
          <w:color w:val="000000"/>
          <w:szCs w:val="32"/>
        </w:rPr>
      </w:pPr>
      <w:r w:rsidRPr="00CE7C7C">
        <w:rPr>
          <w:noProof/>
          <w:lang w:val="en-US" w:eastAsia="ja-JP"/>
        </w:rPr>
        <w:drawing>
          <wp:inline distT="0" distB="0" distL="0" distR="0">
            <wp:extent cx="427482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4820" cy="571500"/>
                    </a:xfrm>
                    <a:prstGeom prst="rect">
                      <a:avLst/>
                    </a:prstGeom>
                    <a:noFill/>
                    <a:ln>
                      <a:noFill/>
                    </a:ln>
                  </pic:spPr>
                </pic:pic>
              </a:graphicData>
            </a:graphic>
          </wp:inline>
        </w:drawing>
      </w:r>
    </w:p>
    <w:p w:rsidR="00D8600B" w:rsidRPr="00F65152" w:rsidRDefault="00D8600B" w:rsidP="00C01F1A">
      <w:pPr>
        <w:autoSpaceDE w:val="0"/>
        <w:autoSpaceDN w:val="0"/>
        <w:adjustRightInd w:val="0"/>
        <w:rPr>
          <w:rFonts w:cs="Arial"/>
          <w:b/>
          <w:color w:val="000000"/>
          <w:szCs w:val="32"/>
        </w:rPr>
      </w:pPr>
    </w:p>
    <w:p w:rsidR="00C01F1A" w:rsidRPr="00893816" w:rsidRDefault="00C01F1A" w:rsidP="00F65152">
      <w:pPr>
        <w:pStyle w:val="Heading1"/>
        <w:rPr>
          <w:rFonts w:ascii="BNPP Rounded" w:hAnsi="BNPP Rounded"/>
          <w:b/>
          <w:sz w:val="32"/>
        </w:rPr>
      </w:pPr>
      <w:bookmarkStart w:id="9" w:name="_Toc104282207"/>
      <w:r w:rsidRPr="00893816">
        <w:rPr>
          <w:rFonts w:ascii="BNPP Rounded" w:hAnsi="BNPP Rounded"/>
          <w:b/>
          <w:sz w:val="32"/>
        </w:rPr>
        <w:lastRenderedPageBreak/>
        <w:t>MARKET RISK</w:t>
      </w:r>
      <w:bookmarkEnd w:id="9"/>
    </w:p>
    <w:p w:rsidR="00AA04E8" w:rsidRPr="00F65152" w:rsidRDefault="00AA04E8" w:rsidP="00C01F1A">
      <w:pPr>
        <w:autoSpaceDE w:val="0"/>
        <w:autoSpaceDN w:val="0"/>
        <w:adjustRightInd w:val="0"/>
        <w:rPr>
          <w:rFonts w:cs="Arial"/>
          <w:b/>
          <w:color w:val="000000"/>
          <w:szCs w:val="32"/>
        </w:rPr>
      </w:pPr>
    </w:p>
    <w:p w:rsidR="00F84D39" w:rsidRPr="00F65152" w:rsidRDefault="00AA04E8" w:rsidP="00AA04E8">
      <w:pPr>
        <w:autoSpaceDE w:val="0"/>
        <w:autoSpaceDN w:val="0"/>
        <w:adjustRightInd w:val="0"/>
        <w:jc w:val="both"/>
        <w:rPr>
          <w:rFonts w:cs="Arial"/>
          <w:color w:val="000000"/>
          <w:szCs w:val="32"/>
        </w:rPr>
      </w:pPr>
      <w:r w:rsidRPr="00F65152">
        <w:rPr>
          <w:rFonts w:cs="Arial"/>
          <w:color w:val="000000"/>
          <w:szCs w:val="32"/>
        </w:rPr>
        <w:t>Market risk is the risk of incurring a loss of value due to adverse trends in market prices or parameters, whether directly observable or not.</w:t>
      </w:r>
    </w:p>
    <w:p w:rsidR="005272E7" w:rsidRPr="00F65152" w:rsidRDefault="005272E7" w:rsidP="00AA04E8">
      <w:pPr>
        <w:autoSpaceDE w:val="0"/>
        <w:autoSpaceDN w:val="0"/>
        <w:adjustRightInd w:val="0"/>
        <w:jc w:val="both"/>
        <w:rPr>
          <w:rFonts w:cs="Arial"/>
          <w:color w:val="000000"/>
          <w:szCs w:val="32"/>
        </w:rPr>
      </w:pPr>
    </w:p>
    <w:p w:rsidR="00AA04E8" w:rsidRPr="00F65152" w:rsidRDefault="00AA04E8" w:rsidP="00AA04E8">
      <w:pPr>
        <w:autoSpaceDE w:val="0"/>
        <w:autoSpaceDN w:val="0"/>
        <w:adjustRightInd w:val="0"/>
        <w:jc w:val="both"/>
        <w:rPr>
          <w:rFonts w:cs="Arial"/>
          <w:color w:val="000000"/>
          <w:szCs w:val="32"/>
        </w:rPr>
      </w:pPr>
      <w:r w:rsidRPr="00F65152">
        <w:rPr>
          <w:rFonts w:cs="Arial"/>
          <w:color w:val="000000"/>
          <w:szCs w:val="32"/>
        </w:rPr>
        <w:t>Observable market parameters i</w:t>
      </w:r>
      <w:r w:rsidR="00F84D39" w:rsidRPr="00F65152">
        <w:rPr>
          <w:rFonts w:cs="Arial"/>
          <w:color w:val="000000"/>
          <w:szCs w:val="32"/>
        </w:rPr>
        <w:t xml:space="preserve">nclude, but are not limited to </w:t>
      </w:r>
      <w:r w:rsidRPr="00F65152">
        <w:rPr>
          <w:rFonts w:cs="Arial"/>
          <w:color w:val="000000"/>
          <w:szCs w:val="32"/>
        </w:rPr>
        <w:t>exchange rates, prices of securities</w:t>
      </w:r>
      <w:r w:rsidR="00F84D39" w:rsidRPr="00F65152">
        <w:rPr>
          <w:rFonts w:cs="Arial"/>
          <w:color w:val="000000"/>
          <w:szCs w:val="32"/>
        </w:rPr>
        <w:t>,</w:t>
      </w:r>
      <w:r w:rsidRPr="00F65152">
        <w:rPr>
          <w:rFonts w:cs="Arial"/>
          <w:color w:val="000000"/>
          <w:szCs w:val="32"/>
        </w:rPr>
        <w:t xml:space="preserve"> prices of derivatives,</w:t>
      </w:r>
      <w:r w:rsidR="00F84D39" w:rsidRPr="00F65152">
        <w:rPr>
          <w:rFonts w:cs="Arial"/>
          <w:color w:val="000000"/>
          <w:szCs w:val="32"/>
        </w:rPr>
        <w:t xml:space="preserve"> </w:t>
      </w:r>
      <w:r w:rsidRPr="00F65152">
        <w:rPr>
          <w:rFonts w:cs="Arial"/>
          <w:color w:val="000000"/>
          <w:szCs w:val="32"/>
        </w:rPr>
        <w:t>and other parameters that can be directly inferred from them, such</w:t>
      </w:r>
      <w:r w:rsidR="00F84D39" w:rsidRPr="00F65152">
        <w:rPr>
          <w:rFonts w:cs="Arial"/>
          <w:color w:val="000000"/>
          <w:szCs w:val="32"/>
        </w:rPr>
        <w:t xml:space="preserve"> </w:t>
      </w:r>
      <w:r w:rsidRPr="00F65152">
        <w:rPr>
          <w:rFonts w:cs="Arial"/>
          <w:color w:val="000000"/>
          <w:szCs w:val="32"/>
        </w:rPr>
        <w:t>as interest rates, credit spreads, volatilities and implied correlations</w:t>
      </w:r>
      <w:r w:rsidR="00F84D39" w:rsidRPr="00F65152">
        <w:rPr>
          <w:rFonts w:cs="Arial"/>
          <w:color w:val="000000"/>
          <w:szCs w:val="32"/>
        </w:rPr>
        <w:t xml:space="preserve"> </w:t>
      </w:r>
      <w:r w:rsidRPr="00F65152">
        <w:rPr>
          <w:rFonts w:cs="Arial"/>
          <w:color w:val="000000"/>
          <w:szCs w:val="32"/>
        </w:rPr>
        <w:t>or other similar parameters.</w:t>
      </w:r>
    </w:p>
    <w:p w:rsidR="005272E7" w:rsidRPr="00F65152" w:rsidRDefault="005272E7" w:rsidP="00AA04E8">
      <w:pPr>
        <w:autoSpaceDE w:val="0"/>
        <w:autoSpaceDN w:val="0"/>
        <w:adjustRightInd w:val="0"/>
        <w:jc w:val="both"/>
        <w:rPr>
          <w:rFonts w:cs="Arial"/>
          <w:color w:val="000000"/>
          <w:szCs w:val="32"/>
        </w:rPr>
      </w:pPr>
    </w:p>
    <w:p w:rsidR="00AA04E8" w:rsidRPr="00F65152" w:rsidRDefault="00AA04E8" w:rsidP="00AA04E8">
      <w:pPr>
        <w:autoSpaceDE w:val="0"/>
        <w:autoSpaceDN w:val="0"/>
        <w:adjustRightInd w:val="0"/>
        <w:jc w:val="both"/>
        <w:rPr>
          <w:rFonts w:cs="Arial"/>
          <w:color w:val="000000"/>
          <w:szCs w:val="32"/>
        </w:rPr>
      </w:pPr>
      <w:r w:rsidRPr="00F65152">
        <w:rPr>
          <w:rFonts w:cs="Arial"/>
          <w:color w:val="000000"/>
          <w:szCs w:val="32"/>
        </w:rPr>
        <w:t>Non-observable factors are tho</w:t>
      </w:r>
      <w:r w:rsidR="00F84D39" w:rsidRPr="00F65152">
        <w:rPr>
          <w:rFonts w:cs="Arial"/>
          <w:color w:val="000000"/>
          <w:szCs w:val="32"/>
        </w:rPr>
        <w:t xml:space="preserve">se based on working assumptions </w:t>
      </w:r>
      <w:r w:rsidRPr="00F65152">
        <w:rPr>
          <w:rFonts w:cs="Arial"/>
          <w:color w:val="000000"/>
          <w:szCs w:val="32"/>
        </w:rPr>
        <w:t>such as parameters contained in models or based on statistical or</w:t>
      </w:r>
      <w:r w:rsidR="00F84D39" w:rsidRPr="00F65152">
        <w:rPr>
          <w:rFonts w:cs="Arial"/>
          <w:color w:val="000000"/>
          <w:szCs w:val="32"/>
        </w:rPr>
        <w:t xml:space="preserve"> </w:t>
      </w:r>
      <w:r w:rsidRPr="00F65152">
        <w:rPr>
          <w:rFonts w:cs="Arial"/>
          <w:color w:val="000000"/>
          <w:szCs w:val="32"/>
        </w:rPr>
        <w:t>economic analyses, non-ascertainable in the market</w:t>
      </w:r>
    </w:p>
    <w:p w:rsidR="00AA04E8" w:rsidRPr="00F65152" w:rsidRDefault="00AA04E8" w:rsidP="00AA04E8">
      <w:pPr>
        <w:autoSpaceDE w:val="0"/>
        <w:autoSpaceDN w:val="0"/>
        <w:adjustRightInd w:val="0"/>
        <w:jc w:val="both"/>
        <w:rPr>
          <w:rFonts w:cs="Arial"/>
          <w:color w:val="000000"/>
          <w:szCs w:val="32"/>
        </w:rPr>
      </w:pPr>
    </w:p>
    <w:p w:rsidR="005272E7" w:rsidRPr="00F65152" w:rsidRDefault="005272E7" w:rsidP="00F84D39">
      <w:pPr>
        <w:autoSpaceDE w:val="0"/>
        <w:autoSpaceDN w:val="0"/>
        <w:adjustRightInd w:val="0"/>
        <w:rPr>
          <w:rFonts w:cs="Arial"/>
          <w:b/>
          <w:color w:val="000000"/>
          <w:szCs w:val="32"/>
        </w:rPr>
      </w:pPr>
    </w:p>
    <w:p w:rsidR="00C01F1A" w:rsidRPr="00F65152" w:rsidRDefault="00F84D39" w:rsidP="00F84D39">
      <w:pPr>
        <w:autoSpaceDE w:val="0"/>
        <w:autoSpaceDN w:val="0"/>
        <w:adjustRightInd w:val="0"/>
        <w:rPr>
          <w:rFonts w:cs="Arial"/>
          <w:b/>
          <w:color w:val="000000"/>
          <w:szCs w:val="32"/>
          <w:u w:val="single"/>
        </w:rPr>
      </w:pPr>
      <w:r w:rsidRPr="00F65152">
        <w:rPr>
          <w:rFonts w:cs="Arial"/>
          <w:b/>
          <w:color w:val="000000"/>
          <w:szCs w:val="32"/>
          <w:u w:val="single"/>
        </w:rPr>
        <w:t>Market Risk management</w:t>
      </w:r>
    </w:p>
    <w:p w:rsidR="002A3FD7" w:rsidRPr="00F65152" w:rsidRDefault="00F84D39" w:rsidP="00AB2314">
      <w:pPr>
        <w:autoSpaceDE w:val="0"/>
        <w:autoSpaceDN w:val="0"/>
        <w:adjustRightInd w:val="0"/>
        <w:jc w:val="both"/>
        <w:rPr>
          <w:rFonts w:cs="Arial"/>
          <w:color w:val="000000"/>
          <w:szCs w:val="32"/>
        </w:rPr>
      </w:pPr>
      <w:r w:rsidRPr="00F65152">
        <w:rPr>
          <w:rFonts w:cs="Arial"/>
          <w:color w:val="000000"/>
          <w:szCs w:val="32"/>
        </w:rPr>
        <w:t xml:space="preserve">At BNP Paribas </w:t>
      </w:r>
      <w:r w:rsidR="00AA476C" w:rsidRPr="00F65152">
        <w:rPr>
          <w:rFonts w:cs="Arial"/>
          <w:color w:val="000000"/>
          <w:szCs w:val="32"/>
        </w:rPr>
        <w:t>UAE</w:t>
      </w:r>
      <w:r w:rsidRPr="00F65152">
        <w:rPr>
          <w:rFonts w:cs="Arial"/>
          <w:color w:val="000000"/>
          <w:szCs w:val="32"/>
        </w:rPr>
        <w:t xml:space="preserve"> branch</w:t>
      </w:r>
      <w:r w:rsidR="00AA476C" w:rsidRPr="00F65152">
        <w:rPr>
          <w:rFonts w:cs="Arial"/>
          <w:color w:val="000000"/>
          <w:szCs w:val="32"/>
        </w:rPr>
        <w:t>es</w:t>
      </w:r>
      <w:r w:rsidRPr="00F65152">
        <w:rPr>
          <w:rFonts w:cs="Arial"/>
          <w:color w:val="000000"/>
          <w:szCs w:val="32"/>
        </w:rPr>
        <w:t xml:space="preserve"> the relevant market risk is du</w:t>
      </w:r>
      <w:r w:rsidR="002A3FD7" w:rsidRPr="00F65152">
        <w:rPr>
          <w:rFonts w:cs="Arial"/>
          <w:color w:val="000000"/>
          <w:szCs w:val="32"/>
        </w:rPr>
        <w:t>e to foreign exchange movement.</w:t>
      </w:r>
    </w:p>
    <w:p w:rsidR="002A3FD7" w:rsidRPr="00F65152" w:rsidRDefault="002A3FD7" w:rsidP="00AB2314">
      <w:pPr>
        <w:autoSpaceDE w:val="0"/>
        <w:autoSpaceDN w:val="0"/>
        <w:adjustRightInd w:val="0"/>
        <w:jc w:val="both"/>
        <w:rPr>
          <w:rFonts w:cs="Arial"/>
          <w:color w:val="000000"/>
          <w:szCs w:val="32"/>
        </w:rPr>
      </w:pPr>
      <w:r w:rsidRPr="00F65152">
        <w:rPr>
          <w:rFonts w:cs="Arial"/>
          <w:color w:val="000000"/>
          <w:szCs w:val="32"/>
        </w:rPr>
        <w:t>F</w:t>
      </w:r>
      <w:r w:rsidR="00F84D39" w:rsidRPr="00F65152">
        <w:rPr>
          <w:rFonts w:cs="Arial"/>
          <w:color w:val="000000"/>
          <w:szCs w:val="32"/>
        </w:rPr>
        <w:t>oreign exchange risks related to banking activities and are managed by the cross-functional ALM</w:t>
      </w:r>
      <w:r w:rsidRPr="00F65152">
        <w:rPr>
          <w:rFonts w:cs="Arial"/>
          <w:color w:val="000000"/>
          <w:szCs w:val="32"/>
        </w:rPr>
        <w:t xml:space="preserve"> </w:t>
      </w:r>
      <w:r w:rsidR="00F84D39" w:rsidRPr="00F65152">
        <w:rPr>
          <w:rFonts w:cs="Arial"/>
          <w:color w:val="000000"/>
          <w:szCs w:val="32"/>
        </w:rPr>
        <w:t xml:space="preserve">Treasury Department. At </w:t>
      </w:r>
      <w:r w:rsidR="003C1A42" w:rsidRPr="00F65152">
        <w:rPr>
          <w:rFonts w:cs="Arial"/>
          <w:color w:val="000000"/>
          <w:szCs w:val="32"/>
        </w:rPr>
        <w:t xml:space="preserve">Group level, the ALM </w:t>
      </w:r>
      <w:r w:rsidR="00F84D39" w:rsidRPr="00F65152">
        <w:rPr>
          <w:rFonts w:cs="Arial"/>
          <w:color w:val="000000"/>
          <w:szCs w:val="32"/>
        </w:rPr>
        <w:t>Treasury Department</w:t>
      </w:r>
      <w:r w:rsidRPr="00F65152">
        <w:rPr>
          <w:rFonts w:cs="Arial"/>
          <w:color w:val="000000"/>
          <w:szCs w:val="32"/>
        </w:rPr>
        <w:t xml:space="preserve"> </w:t>
      </w:r>
      <w:r w:rsidR="00F84D39" w:rsidRPr="00F65152">
        <w:rPr>
          <w:rFonts w:cs="Arial"/>
          <w:color w:val="000000"/>
          <w:szCs w:val="32"/>
        </w:rPr>
        <w:t xml:space="preserve">is directly overseen by the </w:t>
      </w:r>
      <w:r w:rsidR="00AB2314" w:rsidRPr="00AB2314">
        <w:rPr>
          <w:rFonts w:cs="Arial"/>
          <w:color w:val="000000"/>
          <w:szCs w:val="32"/>
        </w:rPr>
        <w:t>Group Senior Executive Advisor</w:t>
      </w:r>
      <w:r w:rsidR="00F84D39" w:rsidRPr="00F65152">
        <w:rPr>
          <w:rFonts w:cs="Arial"/>
          <w:color w:val="000000"/>
          <w:szCs w:val="32"/>
        </w:rPr>
        <w:t>. BNP Paribas SA’s</w:t>
      </w:r>
      <w:r w:rsidRPr="00F65152">
        <w:rPr>
          <w:rFonts w:cs="Arial"/>
          <w:color w:val="000000"/>
          <w:szCs w:val="32"/>
        </w:rPr>
        <w:t xml:space="preserve"> </w:t>
      </w:r>
      <w:r w:rsidR="00F84D39" w:rsidRPr="00F65152">
        <w:rPr>
          <w:rFonts w:cs="Arial"/>
          <w:color w:val="000000"/>
          <w:szCs w:val="32"/>
        </w:rPr>
        <w:t>ALM Treasury Department exercises functional authority over the ALM</w:t>
      </w:r>
      <w:r w:rsidRPr="00F65152">
        <w:rPr>
          <w:rFonts w:cs="Arial"/>
          <w:color w:val="000000"/>
          <w:szCs w:val="32"/>
        </w:rPr>
        <w:t xml:space="preserve"> </w:t>
      </w:r>
      <w:r w:rsidR="00F84D39" w:rsidRPr="00F65152">
        <w:rPr>
          <w:rFonts w:cs="Arial"/>
          <w:color w:val="000000"/>
          <w:szCs w:val="32"/>
        </w:rPr>
        <w:t>Treasury teams of each entity</w:t>
      </w:r>
      <w:r w:rsidRPr="00F65152">
        <w:rPr>
          <w:rFonts w:cs="Arial"/>
          <w:color w:val="000000"/>
          <w:szCs w:val="32"/>
        </w:rPr>
        <w:t xml:space="preserve"> including BNP Paribas </w:t>
      </w:r>
      <w:r w:rsidR="00CB21BD" w:rsidRPr="00F65152">
        <w:rPr>
          <w:rFonts w:cs="Arial"/>
          <w:color w:val="000000"/>
          <w:szCs w:val="32"/>
        </w:rPr>
        <w:t>UAE</w:t>
      </w:r>
      <w:r w:rsidRPr="00F65152">
        <w:rPr>
          <w:rFonts w:cs="Arial"/>
          <w:color w:val="000000"/>
          <w:szCs w:val="32"/>
        </w:rPr>
        <w:t xml:space="preserve"> branch</w:t>
      </w:r>
      <w:r w:rsidR="00CB21BD" w:rsidRPr="00F65152">
        <w:rPr>
          <w:rFonts w:cs="Arial"/>
          <w:color w:val="000000"/>
          <w:szCs w:val="32"/>
        </w:rPr>
        <w:t>es</w:t>
      </w:r>
      <w:r w:rsidR="003C1A42" w:rsidRPr="00F65152">
        <w:rPr>
          <w:rFonts w:cs="Arial"/>
          <w:color w:val="000000"/>
          <w:szCs w:val="32"/>
        </w:rPr>
        <w:t>.</w:t>
      </w:r>
      <w:r w:rsidR="00AB2314">
        <w:rPr>
          <w:rFonts w:cs="Arial"/>
          <w:color w:val="000000"/>
          <w:szCs w:val="32"/>
        </w:rPr>
        <w:t xml:space="preserve"> </w:t>
      </w:r>
    </w:p>
    <w:p w:rsidR="00C01F1A" w:rsidRPr="00F65152" w:rsidRDefault="00C01F1A" w:rsidP="007B2CDE">
      <w:pPr>
        <w:autoSpaceDE w:val="0"/>
        <w:autoSpaceDN w:val="0"/>
        <w:adjustRightInd w:val="0"/>
        <w:jc w:val="both"/>
        <w:rPr>
          <w:rFonts w:cs="Arial"/>
          <w:color w:val="000000"/>
          <w:szCs w:val="32"/>
        </w:rPr>
      </w:pPr>
    </w:p>
    <w:p w:rsidR="00C01F1A" w:rsidRPr="00F65152" w:rsidRDefault="00C01F1A" w:rsidP="007B2CDE">
      <w:pPr>
        <w:adjustRightInd w:val="0"/>
        <w:jc w:val="both"/>
        <w:rPr>
          <w:rFonts w:cs="Arial"/>
          <w:color w:val="000000"/>
          <w:szCs w:val="32"/>
        </w:rPr>
      </w:pPr>
    </w:p>
    <w:p w:rsidR="005272E7" w:rsidRPr="00F65152" w:rsidRDefault="005272E7" w:rsidP="007B2CDE">
      <w:pPr>
        <w:adjustRightInd w:val="0"/>
        <w:jc w:val="both"/>
        <w:rPr>
          <w:rFonts w:cs="Arial"/>
          <w:color w:val="000000"/>
          <w:szCs w:val="32"/>
        </w:rPr>
      </w:pPr>
    </w:p>
    <w:p w:rsidR="00C01F1A" w:rsidRPr="00F65152" w:rsidRDefault="00457A8F" w:rsidP="007B2CDE">
      <w:pPr>
        <w:adjustRightInd w:val="0"/>
        <w:jc w:val="both"/>
        <w:rPr>
          <w:rFonts w:cs="Arial"/>
          <w:b/>
          <w:color w:val="000000"/>
          <w:szCs w:val="32"/>
          <w:u w:val="single"/>
        </w:rPr>
      </w:pPr>
      <w:r w:rsidRPr="00F65152">
        <w:rPr>
          <w:rFonts w:cs="Arial"/>
          <w:b/>
          <w:color w:val="000000"/>
          <w:szCs w:val="32"/>
          <w:u w:val="single"/>
        </w:rPr>
        <w:t xml:space="preserve">Market risk as at 31 Dec </w:t>
      </w:r>
      <w:r w:rsidR="00CB21BD" w:rsidRPr="00F65152">
        <w:rPr>
          <w:rFonts w:cs="Arial"/>
          <w:b/>
          <w:color w:val="000000"/>
          <w:szCs w:val="32"/>
          <w:u w:val="single"/>
        </w:rPr>
        <w:t>2021</w:t>
      </w:r>
    </w:p>
    <w:p w:rsidR="00C01F1A" w:rsidRPr="00F65152" w:rsidRDefault="00C01F1A" w:rsidP="007B2CDE">
      <w:pPr>
        <w:adjustRightInd w:val="0"/>
        <w:jc w:val="both"/>
        <w:rPr>
          <w:rFonts w:cs="Arial"/>
          <w:color w:val="000000"/>
          <w:szCs w:val="32"/>
        </w:rPr>
      </w:pPr>
      <w:r w:rsidRPr="00F65152">
        <w:rPr>
          <w:rFonts w:cs="Arial"/>
          <w:color w:val="000000"/>
          <w:szCs w:val="32"/>
        </w:rPr>
        <w:t xml:space="preserve">Risk weighted assets for market risk at 31 December </w:t>
      </w:r>
      <w:r w:rsidR="007B2CDE" w:rsidRPr="00F65152">
        <w:rPr>
          <w:rFonts w:cs="Arial"/>
          <w:color w:val="000000"/>
          <w:szCs w:val="32"/>
        </w:rPr>
        <w:t>20</w:t>
      </w:r>
      <w:r w:rsidR="00956280" w:rsidRPr="00F65152">
        <w:rPr>
          <w:rFonts w:cs="Arial"/>
          <w:color w:val="000000"/>
          <w:szCs w:val="32"/>
        </w:rPr>
        <w:t>2</w:t>
      </w:r>
      <w:r w:rsidR="00CB21BD" w:rsidRPr="00F65152">
        <w:rPr>
          <w:rFonts w:cs="Arial"/>
          <w:color w:val="000000"/>
          <w:szCs w:val="32"/>
        </w:rPr>
        <w:t>1</w:t>
      </w:r>
      <w:r w:rsidR="007B2CDE" w:rsidRPr="00F65152">
        <w:rPr>
          <w:rFonts w:cs="Arial"/>
          <w:color w:val="000000"/>
          <w:szCs w:val="32"/>
        </w:rPr>
        <w:t xml:space="preserve"> and comparative i</w:t>
      </w:r>
      <w:r w:rsidR="00CB21BD" w:rsidRPr="00F65152">
        <w:rPr>
          <w:rFonts w:cs="Arial"/>
          <w:color w:val="000000"/>
          <w:szCs w:val="32"/>
        </w:rPr>
        <w:t>nformation for 31 December 2020</w:t>
      </w:r>
      <w:r w:rsidR="007B2CDE" w:rsidRPr="00F65152">
        <w:rPr>
          <w:rFonts w:cs="Arial"/>
          <w:color w:val="000000"/>
          <w:szCs w:val="32"/>
        </w:rPr>
        <w:t xml:space="preserve"> are reflected below </w:t>
      </w:r>
      <w:r w:rsidRPr="00F65152">
        <w:rPr>
          <w:rFonts w:cs="Arial"/>
          <w:color w:val="000000"/>
          <w:szCs w:val="32"/>
        </w:rPr>
        <w:t>are reflected below:</w:t>
      </w:r>
    </w:p>
    <w:p w:rsidR="00C01F1A" w:rsidRPr="00F65152" w:rsidRDefault="00C01F1A" w:rsidP="007B2CDE">
      <w:pPr>
        <w:adjustRightInd w:val="0"/>
        <w:jc w:val="both"/>
        <w:rPr>
          <w:rFonts w:cs="Arial"/>
          <w:color w:val="000000"/>
          <w:szCs w:val="32"/>
        </w:rPr>
      </w:pPr>
    </w:p>
    <w:p w:rsidR="00A607EF" w:rsidRPr="00F65152" w:rsidRDefault="00A607EF" w:rsidP="007B2CDE">
      <w:pPr>
        <w:autoSpaceDE w:val="0"/>
        <w:autoSpaceDN w:val="0"/>
        <w:adjustRightInd w:val="0"/>
        <w:jc w:val="center"/>
        <w:rPr>
          <w:rFonts w:cs="Arial"/>
          <w:color w:val="000000"/>
          <w:szCs w:val="32"/>
        </w:rPr>
      </w:pPr>
    </w:p>
    <w:p w:rsidR="00C01F1A" w:rsidRPr="00F65152" w:rsidRDefault="00CE7C7C" w:rsidP="00CB21BD">
      <w:pPr>
        <w:autoSpaceDE w:val="0"/>
        <w:autoSpaceDN w:val="0"/>
        <w:adjustRightInd w:val="0"/>
        <w:jc w:val="center"/>
        <w:rPr>
          <w:rFonts w:cs="Arial"/>
          <w:color w:val="000000"/>
          <w:szCs w:val="32"/>
        </w:rPr>
      </w:pPr>
      <w:r w:rsidRPr="00CE7C7C">
        <w:rPr>
          <w:noProof/>
          <w:lang w:val="en-US" w:eastAsia="ja-JP"/>
        </w:rPr>
        <w:drawing>
          <wp:inline distT="0" distB="0" distL="0" distR="0">
            <wp:extent cx="4274820" cy="556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4820" cy="556260"/>
                    </a:xfrm>
                    <a:prstGeom prst="rect">
                      <a:avLst/>
                    </a:prstGeom>
                    <a:noFill/>
                    <a:ln>
                      <a:noFill/>
                    </a:ln>
                  </pic:spPr>
                </pic:pic>
              </a:graphicData>
            </a:graphic>
          </wp:inline>
        </w:drawing>
      </w: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F84D39" w:rsidRPr="00F65152" w:rsidRDefault="00F84D39" w:rsidP="00C01F1A">
      <w:pPr>
        <w:autoSpaceDE w:val="0"/>
        <w:autoSpaceDN w:val="0"/>
        <w:adjustRightInd w:val="0"/>
        <w:rPr>
          <w:rFonts w:cs="Arial"/>
          <w:color w:val="000000"/>
          <w:szCs w:val="32"/>
        </w:rPr>
      </w:pPr>
    </w:p>
    <w:p w:rsidR="00CB21BD" w:rsidRPr="00F65152" w:rsidRDefault="00CB21BD" w:rsidP="00C01F1A">
      <w:pPr>
        <w:autoSpaceDE w:val="0"/>
        <w:autoSpaceDN w:val="0"/>
        <w:adjustRightInd w:val="0"/>
        <w:rPr>
          <w:rFonts w:cs="Arial"/>
          <w:color w:val="000000"/>
          <w:szCs w:val="32"/>
        </w:rPr>
      </w:pPr>
    </w:p>
    <w:p w:rsidR="00CB21BD" w:rsidRPr="00F65152" w:rsidRDefault="00CB21BD" w:rsidP="00C01F1A">
      <w:pPr>
        <w:autoSpaceDE w:val="0"/>
        <w:autoSpaceDN w:val="0"/>
        <w:adjustRightInd w:val="0"/>
        <w:rPr>
          <w:rFonts w:cs="Arial"/>
          <w:color w:val="000000"/>
          <w:szCs w:val="32"/>
        </w:rPr>
      </w:pPr>
    </w:p>
    <w:p w:rsidR="00CB21BD" w:rsidRPr="00F65152" w:rsidRDefault="00CB21BD" w:rsidP="00C01F1A">
      <w:pPr>
        <w:autoSpaceDE w:val="0"/>
        <w:autoSpaceDN w:val="0"/>
        <w:adjustRightInd w:val="0"/>
        <w:rPr>
          <w:rFonts w:cs="Arial"/>
          <w:color w:val="000000"/>
          <w:szCs w:val="32"/>
        </w:rPr>
      </w:pPr>
    </w:p>
    <w:p w:rsidR="00CB21BD" w:rsidRPr="00F65152" w:rsidRDefault="00CB21BD" w:rsidP="00C01F1A">
      <w:pPr>
        <w:autoSpaceDE w:val="0"/>
        <w:autoSpaceDN w:val="0"/>
        <w:adjustRightInd w:val="0"/>
        <w:rPr>
          <w:rFonts w:cs="Arial"/>
          <w:color w:val="000000"/>
          <w:szCs w:val="32"/>
        </w:rPr>
      </w:pPr>
    </w:p>
    <w:p w:rsidR="00CB21BD" w:rsidRPr="00F65152" w:rsidRDefault="00CB21BD" w:rsidP="00C01F1A">
      <w:pPr>
        <w:autoSpaceDE w:val="0"/>
        <w:autoSpaceDN w:val="0"/>
        <w:adjustRightInd w:val="0"/>
        <w:rPr>
          <w:rFonts w:cs="Arial"/>
          <w:color w:val="000000"/>
          <w:szCs w:val="32"/>
        </w:rPr>
      </w:pPr>
    </w:p>
    <w:p w:rsidR="00F84D39" w:rsidRDefault="00F84D39" w:rsidP="00C01F1A">
      <w:pPr>
        <w:autoSpaceDE w:val="0"/>
        <w:autoSpaceDN w:val="0"/>
        <w:adjustRightInd w:val="0"/>
        <w:rPr>
          <w:rFonts w:cs="Arial"/>
          <w:color w:val="000000"/>
          <w:szCs w:val="32"/>
        </w:rPr>
      </w:pPr>
    </w:p>
    <w:p w:rsidR="00AB2314" w:rsidRPr="00F65152" w:rsidRDefault="00AB2314" w:rsidP="00C01F1A">
      <w:pPr>
        <w:autoSpaceDE w:val="0"/>
        <w:autoSpaceDN w:val="0"/>
        <w:adjustRightInd w:val="0"/>
        <w:rPr>
          <w:rFonts w:cs="Arial"/>
          <w:color w:val="000000"/>
          <w:szCs w:val="32"/>
        </w:rPr>
      </w:pPr>
    </w:p>
    <w:p w:rsidR="00C01F1A" w:rsidRPr="00893816" w:rsidRDefault="00C01F1A" w:rsidP="00F65152">
      <w:pPr>
        <w:pStyle w:val="Heading1"/>
        <w:rPr>
          <w:rFonts w:ascii="BNPP Rounded" w:hAnsi="BNPP Rounded"/>
          <w:b/>
          <w:sz w:val="32"/>
        </w:rPr>
      </w:pPr>
      <w:bookmarkStart w:id="10" w:name="_Toc104282208"/>
      <w:r w:rsidRPr="00893816">
        <w:rPr>
          <w:rFonts w:ascii="BNPP Rounded" w:hAnsi="BNPP Rounded"/>
          <w:b/>
          <w:sz w:val="32"/>
        </w:rPr>
        <w:lastRenderedPageBreak/>
        <w:t>OPERATIONAL RISK</w:t>
      </w:r>
      <w:bookmarkEnd w:id="10"/>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Fonts w:cs="Arial"/>
          <w:color w:val="000000"/>
          <w:szCs w:val="32"/>
        </w:rPr>
      </w:pPr>
      <w:r w:rsidRPr="00F65152">
        <w:rPr>
          <w:rFonts w:cs="Arial"/>
          <w:color w:val="000000"/>
          <w:szCs w:val="32"/>
        </w:rPr>
        <w:t>Operational risk is the risk of incurring a loss due to inadequate or failed internal processes, or due to external events, whether deliberate, accidental or natural occurrences. Management of operational risk is based on an analysis of the “cause – event – effect” chain.</w:t>
      </w:r>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Fonts w:cs="Arial"/>
          <w:color w:val="000000"/>
          <w:szCs w:val="32"/>
        </w:rPr>
      </w:pPr>
      <w:r w:rsidRPr="00F65152">
        <w:rPr>
          <w:rFonts w:cs="Arial"/>
          <w:color w:val="000000"/>
          <w:szCs w:val="32"/>
        </w:rPr>
        <w:t>Internal processes giving rise to operational risk may involve employees and/or IT systems. External events include, but are not limited to floods, fi re, earthquakes and terrorist attacks. Credit or market events such as default or fluctuations in value do not fall within the scope of operational risk.</w:t>
      </w:r>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Fonts w:cs="Arial"/>
          <w:color w:val="000000"/>
          <w:szCs w:val="32"/>
        </w:rPr>
      </w:pPr>
      <w:r w:rsidRPr="00F65152">
        <w:rPr>
          <w:rFonts w:cs="Arial"/>
          <w:color w:val="000000"/>
          <w:szCs w:val="32"/>
        </w:rPr>
        <w:t>Operational risk encompasses fraud, human resources risks, legal risks, non-compliance risks, tax risks, information system risks, conduct risks (risks related to the provision of inappropriate financial services), risk related to failures in operating processes, including loan procedures or model risks, as well as any potential financial implications resulting from the management of reputation risks.</w:t>
      </w:r>
    </w:p>
    <w:p w:rsidR="00C01F1A" w:rsidRPr="00F65152" w:rsidRDefault="00C01F1A" w:rsidP="00C01F1A">
      <w:pPr>
        <w:autoSpaceDE w:val="0"/>
        <w:autoSpaceDN w:val="0"/>
        <w:adjustRightInd w:val="0"/>
        <w:rPr>
          <w:rFonts w:cs="Arial"/>
          <w:color w:val="000000"/>
          <w:szCs w:val="32"/>
        </w:rPr>
      </w:pPr>
    </w:p>
    <w:p w:rsidR="005272E7" w:rsidRPr="00F65152" w:rsidRDefault="005272E7" w:rsidP="005272E7">
      <w:pPr>
        <w:autoSpaceDE w:val="0"/>
        <w:autoSpaceDN w:val="0"/>
        <w:adjustRightInd w:val="0"/>
        <w:rPr>
          <w:rFonts w:cs="Arial"/>
          <w:color w:val="000000"/>
          <w:szCs w:val="32"/>
          <w:u w:val="single"/>
        </w:rPr>
      </w:pPr>
      <w:r w:rsidRPr="00F65152">
        <w:rPr>
          <w:rFonts w:cs="Arial"/>
          <w:b/>
          <w:color w:val="000000"/>
          <w:szCs w:val="32"/>
          <w:u w:val="single"/>
        </w:rPr>
        <w:t>Operational Risk management</w:t>
      </w:r>
    </w:p>
    <w:p w:rsidR="00457A8F" w:rsidRPr="00F65152" w:rsidRDefault="00457A8F" w:rsidP="00AA110A">
      <w:pPr>
        <w:autoSpaceDE w:val="0"/>
        <w:autoSpaceDN w:val="0"/>
        <w:adjustRightInd w:val="0"/>
        <w:rPr>
          <w:rFonts w:cs="Arial"/>
          <w:color w:val="000000"/>
          <w:szCs w:val="32"/>
        </w:rPr>
      </w:pPr>
    </w:p>
    <w:p w:rsidR="00AA110A" w:rsidRPr="00F65152" w:rsidRDefault="005272E7" w:rsidP="00AA110A">
      <w:pPr>
        <w:autoSpaceDE w:val="0"/>
        <w:autoSpaceDN w:val="0"/>
        <w:adjustRightInd w:val="0"/>
        <w:rPr>
          <w:rFonts w:cs="Arial"/>
          <w:color w:val="000000"/>
          <w:szCs w:val="32"/>
        </w:rPr>
      </w:pPr>
      <w:r w:rsidRPr="00F65152">
        <w:rPr>
          <w:rFonts w:cs="Arial"/>
          <w:color w:val="000000"/>
          <w:szCs w:val="32"/>
        </w:rPr>
        <w:t>The general internal control system at BNP Paribas underpins</w:t>
      </w:r>
      <w:r w:rsidR="00C47966" w:rsidRPr="00F65152">
        <w:rPr>
          <w:rFonts w:cs="Arial"/>
          <w:color w:val="000000"/>
          <w:szCs w:val="32"/>
        </w:rPr>
        <w:t xml:space="preserve"> </w:t>
      </w:r>
      <w:r w:rsidRPr="00F65152">
        <w:rPr>
          <w:rFonts w:cs="Arial"/>
          <w:color w:val="000000"/>
          <w:szCs w:val="32"/>
        </w:rPr>
        <w:t>management of operational, compliance and reputation risks as part of</w:t>
      </w:r>
      <w:r w:rsidR="00AA110A" w:rsidRPr="00F65152">
        <w:rPr>
          <w:rFonts w:cs="Arial"/>
          <w:color w:val="000000"/>
          <w:szCs w:val="32"/>
        </w:rPr>
        <w:t xml:space="preserve"> </w:t>
      </w:r>
      <w:r w:rsidRPr="00F65152">
        <w:rPr>
          <w:rFonts w:cs="Arial"/>
          <w:color w:val="000000"/>
          <w:szCs w:val="32"/>
        </w:rPr>
        <w:t>its dual-level system to ensure periodic and permanent control</w:t>
      </w:r>
      <w:r w:rsidR="00AA110A" w:rsidRPr="00F65152">
        <w:rPr>
          <w:rFonts w:cs="Arial"/>
          <w:color w:val="000000"/>
          <w:szCs w:val="32"/>
        </w:rPr>
        <w:t>.</w:t>
      </w:r>
    </w:p>
    <w:p w:rsidR="000C65B6" w:rsidRPr="00F65152" w:rsidRDefault="000C65B6" w:rsidP="00AA110A">
      <w:pPr>
        <w:autoSpaceDE w:val="0"/>
        <w:autoSpaceDN w:val="0"/>
        <w:adjustRightInd w:val="0"/>
        <w:rPr>
          <w:rFonts w:cs="Arial"/>
          <w:color w:val="000000"/>
          <w:szCs w:val="32"/>
        </w:rPr>
      </w:pPr>
      <w:r w:rsidRPr="00F65152">
        <w:rPr>
          <w:rFonts w:cs="Arial"/>
          <w:color w:val="000000"/>
          <w:szCs w:val="32"/>
        </w:rPr>
        <w:t xml:space="preserve">The operational risk management and </w:t>
      </w:r>
      <w:r w:rsidR="00C47966" w:rsidRPr="00F65152">
        <w:rPr>
          <w:rFonts w:cs="Arial"/>
          <w:color w:val="000000"/>
          <w:szCs w:val="32"/>
        </w:rPr>
        <w:t xml:space="preserve">control system for the Group as </w:t>
      </w:r>
      <w:r w:rsidRPr="00F65152">
        <w:rPr>
          <w:rFonts w:cs="Arial"/>
          <w:color w:val="000000"/>
          <w:szCs w:val="32"/>
        </w:rPr>
        <w:t>a whole is structured around a two-level system with the following</w:t>
      </w:r>
      <w:r w:rsidR="00C47966" w:rsidRPr="00F65152">
        <w:rPr>
          <w:rFonts w:cs="Arial"/>
          <w:color w:val="000000"/>
          <w:szCs w:val="32"/>
        </w:rPr>
        <w:t xml:space="preserve"> </w:t>
      </w:r>
      <w:r w:rsidRPr="00F65152">
        <w:rPr>
          <w:rFonts w:cs="Arial"/>
          <w:color w:val="000000"/>
          <w:szCs w:val="32"/>
        </w:rPr>
        <w:t>participants</w:t>
      </w:r>
      <w:r w:rsidR="00AA110A" w:rsidRPr="00F65152">
        <w:rPr>
          <w:rFonts w:cs="Arial"/>
          <w:color w:val="000000"/>
          <w:szCs w:val="32"/>
        </w:rPr>
        <w:t>:</w:t>
      </w:r>
    </w:p>
    <w:p w:rsidR="000C65B6" w:rsidRPr="00F65152" w:rsidRDefault="000C65B6" w:rsidP="000C65B6">
      <w:pPr>
        <w:autoSpaceDE w:val="0"/>
        <w:autoSpaceDN w:val="0"/>
        <w:adjustRightInd w:val="0"/>
        <w:rPr>
          <w:rFonts w:cs="Arial"/>
          <w:color w:val="000000"/>
          <w:szCs w:val="32"/>
        </w:rPr>
      </w:pPr>
    </w:p>
    <w:p w:rsidR="00CB21BD" w:rsidRPr="00F65152" w:rsidRDefault="00CB21BD" w:rsidP="0047351A">
      <w:pPr>
        <w:pStyle w:val="ListParagraph"/>
        <w:numPr>
          <w:ilvl w:val="0"/>
          <w:numId w:val="21"/>
        </w:numPr>
        <w:autoSpaceDE w:val="0"/>
        <w:autoSpaceDN w:val="0"/>
        <w:adjustRightInd w:val="0"/>
        <w:spacing w:line="240" w:lineRule="exact"/>
        <w:ind w:left="1008"/>
      </w:pPr>
      <w:r w:rsidRPr="00F65152">
        <w:rPr>
          <w:rFonts w:eastAsia="BNPP Sans Light" w:cs="Arial"/>
          <w:color w:val="000000"/>
          <w:sz w:val="20"/>
          <w:szCs w:val="32"/>
        </w:rPr>
        <w:t>First level of defence: operational staff, notably the Heads of operational entities, business lines and functions, who are on the frontline of risk management and implementation of systems to manage these risks;</w:t>
      </w:r>
    </w:p>
    <w:p w:rsidR="00CB21BD" w:rsidRPr="00F65152" w:rsidRDefault="00CB21BD" w:rsidP="00CB21BD">
      <w:pPr>
        <w:pStyle w:val="ListParagraph"/>
        <w:autoSpaceDE w:val="0"/>
        <w:autoSpaceDN w:val="0"/>
        <w:adjustRightInd w:val="0"/>
        <w:spacing w:line="240" w:lineRule="exact"/>
        <w:ind w:left="1008"/>
      </w:pPr>
    </w:p>
    <w:p w:rsidR="00CB21BD" w:rsidRPr="00F65152" w:rsidRDefault="00CB21BD" w:rsidP="0047351A">
      <w:pPr>
        <w:pStyle w:val="ListParagraph"/>
        <w:numPr>
          <w:ilvl w:val="0"/>
          <w:numId w:val="21"/>
        </w:numPr>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xml:space="preserve">Second line of defence: the functions exercising second level control that are responsible for the organisation and proper functioning of the risk management system and its compliance with laws and regulations for their area of expertise as defined in their Responsibility Charter. These teams are, in particular, responsible for: </w:t>
      </w:r>
    </w:p>
    <w:p w:rsidR="00CB21BD" w:rsidRPr="00F65152" w:rsidRDefault="00CB21BD" w:rsidP="00CB21BD">
      <w:pPr>
        <w:pStyle w:val="ListParagraph"/>
        <w:autoSpaceDE w:val="0"/>
        <w:autoSpaceDN w:val="0"/>
        <w:adjustRightInd w:val="0"/>
        <w:spacing w:line="240" w:lineRule="exact"/>
        <w:ind w:left="1440"/>
        <w:rPr>
          <w:rFonts w:eastAsia="BNPP Sans Light" w:cs="Arial"/>
          <w:color w:val="000000"/>
          <w:sz w:val="20"/>
          <w:szCs w:val="32"/>
        </w:rPr>
      </w:pPr>
    </w:p>
    <w:p w:rsidR="00CB21BD" w:rsidRPr="00F65152" w:rsidRDefault="00CB21BD" w:rsidP="00CB21BD">
      <w:pPr>
        <w:pStyle w:val="ListParagraph"/>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xml:space="preserve">- coordinating, throughout the areas within their remit, the definition and implementation of the permanent control and operational risk identification and management system, its standards and methodologies, reporting and related tools, </w:t>
      </w:r>
    </w:p>
    <w:p w:rsidR="00CB21BD" w:rsidRPr="00F65152" w:rsidRDefault="00CB21BD" w:rsidP="00CB21BD">
      <w:pPr>
        <w:pStyle w:val="ListParagraph"/>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acting as a second pair of eyes, independently of the Heads of operational entities, to scrutinise operational risk factors and the functioning of the operational risk and permanent control system, and issuing warnings, where appropriate</w:t>
      </w:r>
    </w:p>
    <w:p w:rsidR="00CB21BD" w:rsidRPr="00F65152" w:rsidRDefault="00CB21BD" w:rsidP="00CB21BD">
      <w:pPr>
        <w:pStyle w:val="ListParagraph"/>
        <w:autoSpaceDE w:val="0"/>
        <w:autoSpaceDN w:val="0"/>
        <w:adjustRightInd w:val="0"/>
        <w:spacing w:line="240" w:lineRule="exact"/>
        <w:ind w:left="1008"/>
        <w:rPr>
          <w:rFonts w:eastAsia="BNPP Sans Light" w:cs="Arial"/>
          <w:color w:val="000000"/>
          <w:sz w:val="20"/>
          <w:szCs w:val="32"/>
        </w:rPr>
      </w:pPr>
    </w:p>
    <w:p w:rsidR="00457A8F" w:rsidRPr="00F65152" w:rsidRDefault="00234672" w:rsidP="00457A8F">
      <w:pPr>
        <w:adjustRightInd w:val="0"/>
        <w:jc w:val="both"/>
        <w:rPr>
          <w:rFonts w:cs="Arial"/>
          <w:b/>
          <w:color w:val="000000"/>
          <w:szCs w:val="32"/>
          <w:u w:val="single"/>
        </w:rPr>
      </w:pPr>
      <w:r w:rsidRPr="00F65152">
        <w:rPr>
          <w:rFonts w:cs="Arial"/>
          <w:b/>
          <w:color w:val="000000"/>
          <w:szCs w:val="32"/>
          <w:u w:val="single"/>
        </w:rPr>
        <w:t>Ope</w:t>
      </w:r>
      <w:r w:rsidR="00CB21BD" w:rsidRPr="00F65152">
        <w:rPr>
          <w:rFonts w:cs="Arial"/>
          <w:b/>
          <w:color w:val="000000"/>
          <w:szCs w:val="32"/>
          <w:u w:val="single"/>
        </w:rPr>
        <w:t>rational Risk as at 31 Dec 2021</w:t>
      </w:r>
    </w:p>
    <w:p w:rsidR="00457A8F" w:rsidRPr="00F65152" w:rsidRDefault="00457A8F" w:rsidP="00457A8F">
      <w:pPr>
        <w:adjustRightInd w:val="0"/>
        <w:jc w:val="both"/>
        <w:rPr>
          <w:rFonts w:cs="Arial"/>
          <w:b/>
          <w:color w:val="000000"/>
          <w:szCs w:val="32"/>
          <w:u w:val="single"/>
        </w:rPr>
      </w:pPr>
    </w:p>
    <w:p w:rsidR="00587310" w:rsidRDefault="00C01F1A" w:rsidP="00CB21BD">
      <w:pPr>
        <w:adjustRightInd w:val="0"/>
        <w:jc w:val="both"/>
        <w:rPr>
          <w:rFonts w:cs="Arial"/>
          <w:color w:val="000000"/>
          <w:szCs w:val="32"/>
        </w:rPr>
      </w:pPr>
      <w:r w:rsidRPr="00F65152">
        <w:rPr>
          <w:rFonts w:cs="Arial"/>
          <w:color w:val="000000"/>
          <w:szCs w:val="32"/>
        </w:rPr>
        <w:t xml:space="preserve">Risk weighted assets for operational risk at 31 December </w:t>
      </w:r>
      <w:r w:rsidR="007862EA" w:rsidRPr="00F65152">
        <w:rPr>
          <w:rFonts w:cs="Arial"/>
          <w:color w:val="000000"/>
          <w:szCs w:val="32"/>
        </w:rPr>
        <w:t>202</w:t>
      </w:r>
      <w:r w:rsidR="00CB21BD" w:rsidRPr="00F65152">
        <w:rPr>
          <w:rFonts w:cs="Arial"/>
          <w:color w:val="000000"/>
          <w:szCs w:val="32"/>
        </w:rPr>
        <w:t>1</w:t>
      </w:r>
      <w:r w:rsidR="0080647F" w:rsidRPr="00F65152">
        <w:rPr>
          <w:rFonts w:cs="Arial"/>
          <w:color w:val="000000"/>
          <w:szCs w:val="32"/>
        </w:rPr>
        <w:t xml:space="preserve"> and comparative</w:t>
      </w:r>
      <w:r w:rsidR="00CB21BD" w:rsidRPr="00F65152">
        <w:rPr>
          <w:rFonts w:cs="Arial"/>
          <w:color w:val="000000"/>
          <w:szCs w:val="32"/>
        </w:rPr>
        <w:t xml:space="preserve"> information for 31 December 2020</w:t>
      </w:r>
      <w:r w:rsidR="0080647F" w:rsidRPr="00F65152">
        <w:rPr>
          <w:rFonts w:cs="Arial"/>
          <w:color w:val="000000"/>
          <w:szCs w:val="32"/>
        </w:rPr>
        <w:t xml:space="preserve"> are reflected below are reflected below</w:t>
      </w:r>
      <w:r w:rsidRPr="00F65152">
        <w:rPr>
          <w:rFonts w:cs="Arial"/>
          <w:color w:val="000000"/>
          <w:szCs w:val="32"/>
        </w:rPr>
        <w:t>:</w:t>
      </w:r>
    </w:p>
    <w:p w:rsidR="00CE7C7C" w:rsidRDefault="00CE7C7C" w:rsidP="00CB21BD">
      <w:pPr>
        <w:adjustRightInd w:val="0"/>
        <w:jc w:val="both"/>
        <w:rPr>
          <w:rFonts w:cs="Arial"/>
          <w:color w:val="000000"/>
          <w:szCs w:val="32"/>
        </w:rPr>
      </w:pPr>
    </w:p>
    <w:p w:rsidR="00F65152" w:rsidRPr="00F65152" w:rsidRDefault="00CE7C7C" w:rsidP="00CE7C7C">
      <w:pPr>
        <w:adjustRightInd w:val="0"/>
        <w:jc w:val="center"/>
        <w:rPr>
          <w:rFonts w:cs="Arial"/>
          <w:color w:val="000000"/>
          <w:szCs w:val="32"/>
        </w:rPr>
      </w:pPr>
      <w:r w:rsidRPr="00CE7C7C">
        <w:rPr>
          <w:noProof/>
          <w:lang w:val="en-US" w:eastAsia="ja-JP"/>
        </w:rPr>
        <w:drawing>
          <wp:inline distT="0" distB="0" distL="0" distR="0">
            <wp:extent cx="4274820" cy="556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4820" cy="556260"/>
                    </a:xfrm>
                    <a:prstGeom prst="rect">
                      <a:avLst/>
                    </a:prstGeom>
                    <a:noFill/>
                    <a:ln>
                      <a:noFill/>
                    </a:ln>
                  </pic:spPr>
                </pic:pic>
              </a:graphicData>
            </a:graphic>
          </wp:inline>
        </w:drawing>
      </w:r>
    </w:p>
    <w:p w:rsidR="002D4D08" w:rsidRDefault="002D4D08" w:rsidP="0080647F">
      <w:pPr>
        <w:autoSpaceDE w:val="0"/>
        <w:autoSpaceDN w:val="0"/>
        <w:adjustRightInd w:val="0"/>
        <w:jc w:val="center"/>
        <w:rPr>
          <w:rFonts w:cs="Arial"/>
          <w:color w:val="000000"/>
          <w:szCs w:val="32"/>
        </w:rPr>
      </w:pPr>
    </w:p>
    <w:p w:rsidR="00F65152" w:rsidRDefault="00F65152" w:rsidP="0080647F">
      <w:pPr>
        <w:autoSpaceDE w:val="0"/>
        <w:autoSpaceDN w:val="0"/>
        <w:adjustRightInd w:val="0"/>
        <w:jc w:val="center"/>
        <w:rPr>
          <w:rFonts w:cs="Arial"/>
          <w:color w:val="000000"/>
          <w:szCs w:val="32"/>
        </w:rPr>
      </w:pPr>
    </w:p>
    <w:p w:rsidR="00F65152" w:rsidRDefault="00F65152" w:rsidP="0080647F">
      <w:pPr>
        <w:autoSpaceDE w:val="0"/>
        <w:autoSpaceDN w:val="0"/>
        <w:adjustRightInd w:val="0"/>
        <w:jc w:val="center"/>
        <w:rPr>
          <w:rFonts w:cs="Arial"/>
          <w:color w:val="000000"/>
          <w:szCs w:val="32"/>
        </w:rPr>
      </w:pPr>
    </w:p>
    <w:p w:rsidR="00587310" w:rsidRPr="00F65152" w:rsidRDefault="00587310" w:rsidP="0080647F">
      <w:pPr>
        <w:autoSpaceDE w:val="0"/>
        <w:autoSpaceDN w:val="0"/>
        <w:adjustRightInd w:val="0"/>
        <w:jc w:val="center"/>
        <w:rPr>
          <w:rFonts w:cs="Arial"/>
          <w:color w:val="000000"/>
          <w:szCs w:val="32"/>
        </w:rPr>
      </w:pPr>
    </w:p>
    <w:p w:rsidR="00C01F1A" w:rsidRPr="00893816" w:rsidRDefault="00C01F1A" w:rsidP="00F65152">
      <w:pPr>
        <w:pStyle w:val="Heading1"/>
        <w:rPr>
          <w:rFonts w:ascii="BNPP Rounded" w:hAnsi="BNPP Rounded"/>
          <w:b/>
          <w:sz w:val="32"/>
        </w:rPr>
      </w:pPr>
      <w:bookmarkStart w:id="11" w:name="_Toc104282209"/>
      <w:r w:rsidRPr="00893816">
        <w:rPr>
          <w:rFonts w:ascii="BNPP Rounded" w:hAnsi="BNPP Rounded"/>
          <w:b/>
          <w:sz w:val="32"/>
        </w:rPr>
        <w:lastRenderedPageBreak/>
        <w:t>LIQUIDITY RISK</w:t>
      </w:r>
      <w:bookmarkEnd w:id="11"/>
    </w:p>
    <w:p w:rsidR="00C01F1A" w:rsidRPr="00F65152" w:rsidRDefault="00C01F1A" w:rsidP="00C01F1A">
      <w:pPr>
        <w:autoSpaceDE w:val="0"/>
        <w:autoSpaceDN w:val="0"/>
        <w:adjustRightInd w:val="0"/>
        <w:rPr>
          <w:rFonts w:cs="Arial"/>
          <w:color w:val="000000"/>
          <w:szCs w:val="32"/>
        </w:rPr>
      </w:pPr>
    </w:p>
    <w:p w:rsidR="00913286" w:rsidRPr="00F65152" w:rsidRDefault="00913286" w:rsidP="00913286">
      <w:pPr>
        <w:autoSpaceDE w:val="0"/>
        <w:autoSpaceDN w:val="0"/>
        <w:adjustRightInd w:val="0"/>
        <w:rPr>
          <w:rFonts w:cs="Arial"/>
          <w:color w:val="000000"/>
          <w:szCs w:val="32"/>
        </w:rPr>
      </w:pPr>
      <w:r w:rsidRPr="00F65152">
        <w:rPr>
          <w:rFonts w:cs="Arial"/>
          <w:color w:val="000000"/>
          <w:szCs w:val="32"/>
        </w:rPr>
        <w:t>Liquidity risk is the risk that the bank will not be able to honor its commitments or unwind or settle a position due to the market environment or idiosyncratic factors within a given timeframe and at a reasonable cost.</w:t>
      </w:r>
    </w:p>
    <w:p w:rsidR="00913286" w:rsidRPr="00F65152" w:rsidRDefault="00913286" w:rsidP="00C01F1A">
      <w:pPr>
        <w:autoSpaceDE w:val="0"/>
        <w:autoSpaceDN w:val="0"/>
        <w:adjustRightInd w:val="0"/>
        <w:rPr>
          <w:rFonts w:cs="Arial"/>
          <w:color w:val="000000"/>
          <w:szCs w:val="32"/>
        </w:rPr>
      </w:pPr>
    </w:p>
    <w:p w:rsidR="00913286" w:rsidRPr="00F65152" w:rsidRDefault="00913286" w:rsidP="00913286">
      <w:pPr>
        <w:autoSpaceDE w:val="0"/>
        <w:autoSpaceDN w:val="0"/>
        <w:adjustRightInd w:val="0"/>
        <w:rPr>
          <w:rFonts w:cs="Arial"/>
          <w:color w:val="000000"/>
          <w:szCs w:val="32"/>
        </w:rPr>
      </w:pPr>
      <w:r w:rsidRPr="00F65152">
        <w:rPr>
          <w:rFonts w:cs="Arial"/>
          <w:color w:val="000000"/>
          <w:szCs w:val="32"/>
        </w:rPr>
        <w:t>Liquidity risk reflects the risk of not being able to fulfil current or future foreseen or unforeseen cash or collateral requirements, across all time horizons, from the short to the long term.</w:t>
      </w:r>
    </w:p>
    <w:p w:rsidR="00913286" w:rsidRPr="00F65152" w:rsidRDefault="00913286" w:rsidP="00913286">
      <w:pPr>
        <w:widowControl/>
        <w:autoSpaceDE w:val="0"/>
        <w:autoSpaceDN w:val="0"/>
        <w:adjustRightInd w:val="0"/>
        <w:spacing w:before="0"/>
        <w:ind w:left="0" w:right="0"/>
        <w:rPr>
          <w:rFonts w:cs="Arial"/>
          <w:color w:val="000000"/>
          <w:szCs w:val="32"/>
        </w:rPr>
      </w:pPr>
    </w:p>
    <w:p w:rsidR="00C01F1A" w:rsidRDefault="00C01F1A" w:rsidP="00C01F1A">
      <w:pPr>
        <w:autoSpaceDE w:val="0"/>
        <w:autoSpaceDN w:val="0"/>
        <w:adjustRightInd w:val="0"/>
        <w:rPr>
          <w:rFonts w:cs="Arial"/>
          <w:color w:val="000000"/>
          <w:szCs w:val="32"/>
        </w:rPr>
      </w:pPr>
      <w:r w:rsidRPr="00F65152">
        <w:rPr>
          <w:rFonts w:cs="Arial"/>
          <w:color w:val="000000"/>
          <w:szCs w:val="32"/>
        </w:rPr>
        <w:t>This risk may stem from the reduction in funding sources, draw down of funding commitments, a reduction in the liquidity of certain assets, or an increase in cash or collateral margin calls. It may be related to the bank itself (reputation risk) or to external factors (risks in some markets).</w:t>
      </w:r>
    </w:p>
    <w:p w:rsidR="00C01F1A" w:rsidRDefault="00C01F1A" w:rsidP="00C01F1A">
      <w:pPr>
        <w:autoSpaceDE w:val="0"/>
        <w:autoSpaceDN w:val="0"/>
        <w:adjustRightInd w:val="0"/>
        <w:rPr>
          <w:rFonts w:cs="Arial"/>
          <w:color w:val="000000"/>
          <w:szCs w:val="32"/>
        </w:rPr>
      </w:pPr>
    </w:p>
    <w:p w:rsidR="00DB2851" w:rsidRPr="00F65152" w:rsidRDefault="00DB2851" w:rsidP="00C01F1A">
      <w:pPr>
        <w:autoSpaceDE w:val="0"/>
        <w:autoSpaceDN w:val="0"/>
        <w:adjustRightInd w:val="0"/>
        <w:rPr>
          <w:rFonts w:cs="Arial"/>
          <w:color w:val="000000"/>
          <w:szCs w:val="32"/>
        </w:rPr>
      </w:pPr>
    </w:p>
    <w:p w:rsidR="00A419E4" w:rsidRPr="00F65152" w:rsidRDefault="00A419E4" w:rsidP="00A419E4">
      <w:pPr>
        <w:autoSpaceDE w:val="0"/>
        <w:autoSpaceDN w:val="0"/>
        <w:adjustRightInd w:val="0"/>
        <w:rPr>
          <w:rFonts w:cs="Arial"/>
          <w:b/>
          <w:color w:val="000000"/>
          <w:szCs w:val="32"/>
          <w:u w:val="single"/>
        </w:rPr>
      </w:pPr>
      <w:r w:rsidRPr="00F65152">
        <w:rPr>
          <w:rFonts w:cs="Arial"/>
          <w:b/>
          <w:color w:val="000000"/>
          <w:szCs w:val="32"/>
          <w:u w:val="single"/>
        </w:rPr>
        <w:t>Liquidity Risk management</w:t>
      </w:r>
    </w:p>
    <w:p w:rsidR="00C01F1A" w:rsidRPr="00F65152" w:rsidRDefault="00C01F1A" w:rsidP="00EB6CDD">
      <w:pPr>
        <w:autoSpaceDE w:val="0"/>
        <w:autoSpaceDN w:val="0"/>
        <w:adjustRightInd w:val="0"/>
        <w:rPr>
          <w:rFonts w:cs="Arial"/>
          <w:color w:val="000000"/>
          <w:szCs w:val="32"/>
        </w:rPr>
      </w:pPr>
      <w:r w:rsidRPr="00F65152">
        <w:rPr>
          <w:rFonts w:cs="Arial"/>
          <w:color w:val="000000"/>
          <w:szCs w:val="32"/>
        </w:rPr>
        <w:t xml:space="preserve">The Branch’s liquidity risk is managed under a global liquidity policy approved by the </w:t>
      </w:r>
      <w:r w:rsidR="00913286" w:rsidRPr="00F65152">
        <w:rPr>
          <w:rFonts w:cs="Arial"/>
          <w:color w:val="000000"/>
          <w:szCs w:val="32"/>
        </w:rPr>
        <w:t xml:space="preserve">BNP Paribas </w:t>
      </w:r>
      <w:r w:rsidRPr="00F65152">
        <w:rPr>
          <w:rFonts w:cs="Arial"/>
          <w:color w:val="000000"/>
          <w:szCs w:val="32"/>
        </w:rPr>
        <w:t xml:space="preserve">Group’s ALM Committee. This policy is based on management principles designed to apply both in normal conditions and in a liquidity crisis. </w:t>
      </w:r>
      <w:r w:rsidR="00913286" w:rsidRPr="00F65152">
        <w:rPr>
          <w:rFonts w:cs="Arial"/>
          <w:color w:val="000000"/>
          <w:szCs w:val="32"/>
        </w:rPr>
        <w:t>The liquidity position is assessed on</w:t>
      </w:r>
      <w:r w:rsidR="00EB6CDD" w:rsidRPr="00F65152">
        <w:rPr>
          <w:rFonts w:cs="Arial"/>
          <w:color w:val="000000"/>
          <w:szCs w:val="32"/>
        </w:rPr>
        <w:t xml:space="preserve"> </w:t>
      </w:r>
      <w:r w:rsidR="00913286" w:rsidRPr="00F65152">
        <w:rPr>
          <w:rFonts w:cs="Arial"/>
          <w:color w:val="000000"/>
          <w:szCs w:val="32"/>
        </w:rPr>
        <w:t>the basis of internal indicators and regulatory ratios</w:t>
      </w:r>
    </w:p>
    <w:p w:rsidR="00C01F1A" w:rsidRPr="00F65152" w:rsidRDefault="00C01F1A" w:rsidP="00C01F1A">
      <w:pPr>
        <w:autoSpaceDE w:val="0"/>
        <w:autoSpaceDN w:val="0"/>
        <w:adjustRightInd w:val="0"/>
        <w:rPr>
          <w:rFonts w:cs="Arial"/>
          <w:color w:val="000000"/>
          <w:szCs w:val="32"/>
        </w:rPr>
      </w:pPr>
    </w:p>
    <w:p w:rsidR="00A419E4" w:rsidRPr="00F65152" w:rsidRDefault="00A419E4" w:rsidP="00A419E4">
      <w:pPr>
        <w:adjustRightInd w:val="0"/>
        <w:jc w:val="both"/>
        <w:rPr>
          <w:rFonts w:cs="Arial"/>
          <w:b/>
          <w:color w:val="000000"/>
          <w:szCs w:val="32"/>
          <w:u w:val="single"/>
        </w:rPr>
      </w:pPr>
      <w:r w:rsidRPr="00F65152">
        <w:rPr>
          <w:rFonts w:cs="Arial"/>
          <w:b/>
          <w:color w:val="000000"/>
          <w:szCs w:val="32"/>
          <w:u w:val="single"/>
        </w:rPr>
        <w:t>L</w:t>
      </w:r>
      <w:r w:rsidR="008068E8" w:rsidRPr="00F65152">
        <w:rPr>
          <w:rFonts w:cs="Arial"/>
          <w:b/>
          <w:color w:val="000000"/>
          <w:szCs w:val="32"/>
          <w:u w:val="single"/>
        </w:rPr>
        <w:t>iquidity Risk as at 31 Dec 202</w:t>
      </w:r>
      <w:r w:rsidR="00F65152" w:rsidRPr="00F65152">
        <w:rPr>
          <w:rFonts w:cs="Arial"/>
          <w:b/>
          <w:color w:val="000000"/>
          <w:szCs w:val="32"/>
          <w:u w:val="single"/>
        </w:rPr>
        <w:t>1</w:t>
      </w:r>
      <w:r w:rsidR="0097570C" w:rsidRPr="00F65152">
        <w:rPr>
          <w:rFonts w:cs="Arial"/>
          <w:b/>
          <w:color w:val="000000"/>
          <w:szCs w:val="32"/>
          <w:u w:val="single"/>
        </w:rPr>
        <w:t>:</w:t>
      </w:r>
    </w:p>
    <w:p w:rsidR="00DB2851" w:rsidRDefault="00DB2851" w:rsidP="00C01F1A">
      <w:pPr>
        <w:autoSpaceDE w:val="0"/>
        <w:autoSpaceDN w:val="0"/>
        <w:adjustRightInd w:val="0"/>
        <w:rPr>
          <w:rFonts w:cs="Arial"/>
          <w:b/>
          <w:i/>
          <w:color w:val="000000"/>
          <w:szCs w:val="32"/>
        </w:rPr>
      </w:pPr>
    </w:p>
    <w:p w:rsidR="00F65152" w:rsidRPr="00F65152" w:rsidRDefault="00F65152" w:rsidP="00C01F1A">
      <w:pPr>
        <w:autoSpaceDE w:val="0"/>
        <w:autoSpaceDN w:val="0"/>
        <w:adjustRightInd w:val="0"/>
        <w:rPr>
          <w:rFonts w:cs="Arial"/>
          <w:b/>
          <w:i/>
          <w:color w:val="000000"/>
          <w:szCs w:val="32"/>
        </w:rPr>
      </w:pPr>
      <w:r w:rsidRPr="00F65152">
        <w:rPr>
          <w:rFonts w:cs="Arial"/>
          <w:b/>
          <w:i/>
          <w:color w:val="000000"/>
          <w:szCs w:val="32"/>
        </w:rPr>
        <w:t>Eligible Liquid Assets Ratio (ELAR)</w:t>
      </w:r>
    </w:p>
    <w:p w:rsidR="00F65152" w:rsidRPr="00F65152" w:rsidRDefault="00F65152" w:rsidP="00C01F1A">
      <w:pPr>
        <w:autoSpaceDE w:val="0"/>
        <w:autoSpaceDN w:val="0"/>
        <w:adjustRightInd w:val="0"/>
        <w:rPr>
          <w:rFonts w:cs="Arial"/>
          <w:color w:val="000000"/>
          <w:szCs w:val="32"/>
        </w:rPr>
      </w:pPr>
      <w:r w:rsidRPr="00F65152">
        <w:rPr>
          <w:rFonts w:cs="Arial"/>
          <w:color w:val="000000"/>
          <w:szCs w:val="32"/>
        </w:rPr>
        <w:t>ELAR is calculated in accordance with Circular No 33/2015 issued by the Central bank Of UAE.</w:t>
      </w:r>
    </w:p>
    <w:p w:rsidR="00F65152" w:rsidRPr="00F65152" w:rsidRDefault="00F65152" w:rsidP="00C01F1A">
      <w:pPr>
        <w:autoSpaceDE w:val="0"/>
        <w:autoSpaceDN w:val="0"/>
        <w:adjustRightInd w:val="0"/>
        <w:rPr>
          <w:rFonts w:cs="Arial"/>
          <w:color w:val="000000"/>
          <w:szCs w:val="32"/>
        </w:rPr>
      </w:pPr>
    </w:p>
    <w:p w:rsidR="00C01F1A" w:rsidRDefault="00F65152" w:rsidP="00C01F1A">
      <w:pPr>
        <w:autoSpaceDE w:val="0"/>
        <w:autoSpaceDN w:val="0"/>
        <w:adjustRightInd w:val="0"/>
        <w:rPr>
          <w:rFonts w:cs="Arial"/>
          <w:color w:val="000000"/>
          <w:szCs w:val="32"/>
        </w:rPr>
      </w:pPr>
      <w:r w:rsidRPr="00F65152">
        <w:rPr>
          <w:rFonts w:cs="Arial"/>
          <w:color w:val="000000"/>
          <w:szCs w:val="32"/>
        </w:rPr>
        <w:t xml:space="preserve">ELAR </w:t>
      </w:r>
      <w:r w:rsidR="00B54BB0" w:rsidRPr="00F65152">
        <w:rPr>
          <w:rFonts w:cs="Arial"/>
          <w:color w:val="000000"/>
          <w:szCs w:val="32"/>
        </w:rPr>
        <w:t xml:space="preserve">as at 31 December </w:t>
      </w:r>
      <w:r w:rsidR="008068E8" w:rsidRPr="00F65152">
        <w:rPr>
          <w:rFonts w:cs="Arial"/>
          <w:color w:val="000000"/>
          <w:szCs w:val="32"/>
        </w:rPr>
        <w:t>202</w:t>
      </w:r>
      <w:r w:rsidRPr="00F65152">
        <w:rPr>
          <w:rFonts w:cs="Arial"/>
          <w:color w:val="000000"/>
          <w:szCs w:val="32"/>
        </w:rPr>
        <w:t>1</w:t>
      </w:r>
      <w:r w:rsidR="00B54BB0" w:rsidRPr="00F65152">
        <w:rPr>
          <w:rFonts w:cs="Arial"/>
          <w:color w:val="000000"/>
          <w:szCs w:val="32"/>
        </w:rPr>
        <w:t xml:space="preserve"> and comparative information for 31 December </w:t>
      </w:r>
      <w:r w:rsidRPr="00F65152">
        <w:rPr>
          <w:rFonts w:cs="Arial"/>
          <w:color w:val="000000"/>
          <w:szCs w:val="32"/>
        </w:rPr>
        <w:t>2020</w:t>
      </w:r>
      <w:r w:rsidR="00B54BB0" w:rsidRPr="00F65152">
        <w:rPr>
          <w:rFonts w:cs="Arial"/>
          <w:color w:val="000000"/>
          <w:szCs w:val="32"/>
        </w:rPr>
        <w:t xml:space="preserve"> are reflected below:</w:t>
      </w:r>
    </w:p>
    <w:p w:rsidR="001D313B" w:rsidRPr="00F65152" w:rsidRDefault="001D313B" w:rsidP="00C01F1A">
      <w:pPr>
        <w:autoSpaceDE w:val="0"/>
        <w:autoSpaceDN w:val="0"/>
        <w:adjustRightInd w:val="0"/>
        <w:rPr>
          <w:rFonts w:cs="Arial"/>
          <w:color w:val="000000"/>
          <w:szCs w:val="32"/>
        </w:rPr>
      </w:pPr>
    </w:p>
    <w:p w:rsidR="00C01F1A" w:rsidRPr="00F65152" w:rsidRDefault="00CD1235" w:rsidP="002520ED">
      <w:pPr>
        <w:autoSpaceDE w:val="0"/>
        <w:autoSpaceDN w:val="0"/>
        <w:adjustRightInd w:val="0"/>
        <w:jc w:val="center"/>
        <w:rPr>
          <w:rFonts w:cs="Arial"/>
          <w:color w:val="000000"/>
          <w:szCs w:val="32"/>
        </w:rPr>
      </w:pPr>
      <w:r w:rsidRPr="00CD1235">
        <w:rPr>
          <w:noProof/>
          <w:lang w:val="en-US" w:eastAsia="ja-JP"/>
        </w:rPr>
        <w:drawing>
          <wp:inline distT="0" distB="0" distL="0" distR="0">
            <wp:extent cx="3771900" cy="866775"/>
            <wp:effectExtent l="0" t="0" r="0"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1900" cy="866775"/>
                    </a:xfrm>
                    <a:prstGeom prst="rect">
                      <a:avLst/>
                    </a:prstGeom>
                    <a:noFill/>
                    <a:ln>
                      <a:noFill/>
                    </a:ln>
                  </pic:spPr>
                </pic:pic>
              </a:graphicData>
            </a:graphic>
          </wp:inline>
        </w:drawing>
      </w:r>
    </w:p>
    <w:p w:rsidR="00C01F1A" w:rsidRPr="00F65152" w:rsidRDefault="00C01F1A" w:rsidP="00EB6CDD">
      <w:pPr>
        <w:autoSpaceDE w:val="0"/>
        <w:autoSpaceDN w:val="0"/>
        <w:adjustRightInd w:val="0"/>
        <w:jc w:val="center"/>
        <w:rPr>
          <w:rFonts w:cs="Arial"/>
          <w:color w:val="000000"/>
          <w:szCs w:val="32"/>
        </w:rPr>
      </w:pPr>
    </w:p>
    <w:p w:rsidR="00EB6CDD" w:rsidRPr="00F65152" w:rsidRDefault="00EB6CDD" w:rsidP="00C01F1A">
      <w:pPr>
        <w:autoSpaceDE w:val="0"/>
        <w:autoSpaceDN w:val="0"/>
        <w:adjustRightInd w:val="0"/>
        <w:rPr>
          <w:rFonts w:cs="Arial"/>
          <w:color w:val="000000"/>
          <w:szCs w:val="32"/>
        </w:rPr>
      </w:pPr>
    </w:p>
    <w:p w:rsidR="0049128C" w:rsidRPr="00F65152" w:rsidRDefault="0049128C" w:rsidP="00C01F1A">
      <w:pPr>
        <w:autoSpaceDE w:val="0"/>
        <w:autoSpaceDN w:val="0"/>
        <w:adjustRightInd w:val="0"/>
        <w:rPr>
          <w:rFonts w:cs="Arial"/>
          <w:color w:val="000000"/>
          <w:szCs w:val="32"/>
        </w:rPr>
      </w:pPr>
    </w:p>
    <w:p w:rsidR="00F65152" w:rsidRPr="00F65152" w:rsidRDefault="00F65152" w:rsidP="00C052C6">
      <w:pPr>
        <w:autoSpaceDE w:val="0"/>
        <w:autoSpaceDN w:val="0"/>
        <w:adjustRightInd w:val="0"/>
        <w:rPr>
          <w:rFonts w:cs="Arial"/>
          <w:b/>
          <w:i/>
          <w:color w:val="000000"/>
          <w:szCs w:val="32"/>
        </w:rPr>
      </w:pPr>
      <w:r w:rsidRPr="00F65152">
        <w:rPr>
          <w:rFonts w:cs="Arial"/>
          <w:b/>
          <w:i/>
          <w:color w:val="000000"/>
          <w:szCs w:val="32"/>
        </w:rPr>
        <w:t>Advances to Stables Resource Ratio</w:t>
      </w:r>
    </w:p>
    <w:p w:rsidR="00C052C6" w:rsidRPr="00F65152" w:rsidRDefault="00F65152" w:rsidP="00C052C6">
      <w:pPr>
        <w:autoSpaceDE w:val="0"/>
        <w:autoSpaceDN w:val="0"/>
        <w:adjustRightInd w:val="0"/>
        <w:rPr>
          <w:rFonts w:cs="Arial"/>
          <w:color w:val="000000"/>
          <w:szCs w:val="32"/>
        </w:rPr>
      </w:pPr>
      <w:r w:rsidRPr="00F65152">
        <w:rPr>
          <w:rFonts w:cs="Arial"/>
          <w:color w:val="000000"/>
          <w:szCs w:val="32"/>
        </w:rPr>
        <w:t>Advances to Stable Resources Ratio is calculated in accordance with Circular No 394 issued by the Central bank of UAE and should not exceed 100%.</w:t>
      </w:r>
    </w:p>
    <w:p w:rsidR="0049128C" w:rsidRPr="00F65152" w:rsidRDefault="0049128C" w:rsidP="00C052C6">
      <w:pPr>
        <w:autoSpaceDE w:val="0"/>
        <w:autoSpaceDN w:val="0"/>
        <w:adjustRightInd w:val="0"/>
        <w:rPr>
          <w:rFonts w:cs="Arial"/>
          <w:color w:val="000000"/>
          <w:szCs w:val="32"/>
        </w:rPr>
      </w:pPr>
    </w:p>
    <w:p w:rsidR="00C052C6" w:rsidRPr="00F65152" w:rsidRDefault="00011E2B" w:rsidP="00C052C6">
      <w:pPr>
        <w:autoSpaceDE w:val="0"/>
        <w:autoSpaceDN w:val="0"/>
        <w:adjustRightInd w:val="0"/>
        <w:rPr>
          <w:rFonts w:cs="Arial"/>
          <w:color w:val="000000"/>
          <w:szCs w:val="32"/>
        </w:rPr>
      </w:pPr>
      <w:r w:rsidRPr="00F65152">
        <w:rPr>
          <w:rFonts w:cs="Arial"/>
          <w:color w:val="000000"/>
          <w:szCs w:val="32"/>
        </w:rPr>
        <w:t xml:space="preserve">Advances to Stable Resources Ratio </w:t>
      </w:r>
      <w:r w:rsidR="00C052C6" w:rsidRPr="00F65152">
        <w:rPr>
          <w:rFonts w:cs="Arial"/>
          <w:color w:val="000000"/>
          <w:szCs w:val="32"/>
        </w:rPr>
        <w:t xml:space="preserve">as at 31 December </w:t>
      </w:r>
      <w:r w:rsidR="00956280" w:rsidRPr="00F65152">
        <w:rPr>
          <w:rFonts w:cs="Arial"/>
          <w:color w:val="000000"/>
          <w:szCs w:val="32"/>
        </w:rPr>
        <w:t>202</w:t>
      </w:r>
      <w:r>
        <w:rPr>
          <w:rFonts w:cs="Arial"/>
          <w:color w:val="000000"/>
          <w:szCs w:val="32"/>
        </w:rPr>
        <w:t>1</w:t>
      </w:r>
      <w:r w:rsidR="00C052C6" w:rsidRPr="00F65152">
        <w:rPr>
          <w:rFonts w:cs="Arial"/>
          <w:color w:val="000000"/>
          <w:szCs w:val="32"/>
        </w:rPr>
        <w:t xml:space="preserve"> and comparative</w:t>
      </w:r>
      <w:r>
        <w:rPr>
          <w:rFonts w:cs="Arial"/>
          <w:color w:val="000000"/>
          <w:szCs w:val="32"/>
        </w:rPr>
        <w:t xml:space="preserve"> information for 31 December 2020</w:t>
      </w:r>
      <w:r w:rsidR="00C052C6" w:rsidRPr="00F65152">
        <w:rPr>
          <w:rFonts w:cs="Arial"/>
          <w:color w:val="000000"/>
          <w:szCs w:val="32"/>
        </w:rPr>
        <w:t xml:space="preserve"> are reflected below:</w:t>
      </w:r>
    </w:p>
    <w:p w:rsidR="00C052C6" w:rsidRPr="00F65152" w:rsidRDefault="00C052C6" w:rsidP="00C052C6">
      <w:pPr>
        <w:autoSpaceDE w:val="0"/>
        <w:autoSpaceDN w:val="0"/>
        <w:adjustRightInd w:val="0"/>
        <w:jc w:val="center"/>
        <w:rPr>
          <w:rFonts w:cs="Arial"/>
          <w:color w:val="000000"/>
          <w:szCs w:val="32"/>
        </w:rPr>
      </w:pPr>
    </w:p>
    <w:p w:rsidR="00C052C6" w:rsidRPr="00F65152" w:rsidRDefault="00CD1235" w:rsidP="00457A8F">
      <w:pPr>
        <w:autoSpaceDE w:val="0"/>
        <w:autoSpaceDN w:val="0"/>
        <w:adjustRightInd w:val="0"/>
        <w:jc w:val="center"/>
        <w:rPr>
          <w:rFonts w:cs="Arial"/>
          <w:color w:val="000000"/>
          <w:szCs w:val="32"/>
        </w:rPr>
      </w:pPr>
      <w:r w:rsidRPr="00CD1235">
        <w:rPr>
          <w:noProof/>
          <w:lang w:val="en-US" w:eastAsia="ja-JP"/>
        </w:rPr>
        <w:drawing>
          <wp:inline distT="0" distB="0" distL="0" distR="0">
            <wp:extent cx="4162425" cy="86677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2425" cy="866775"/>
                    </a:xfrm>
                    <a:prstGeom prst="rect">
                      <a:avLst/>
                    </a:prstGeom>
                    <a:noFill/>
                    <a:ln>
                      <a:noFill/>
                    </a:ln>
                  </pic:spPr>
                </pic:pic>
              </a:graphicData>
            </a:graphic>
          </wp:inline>
        </w:drawing>
      </w:r>
    </w:p>
    <w:p w:rsidR="00457A8F" w:rsidRDefault="00457A8F" w:rsidP="00C01F1A">
      <w:pPr>
        <w:autoSpaceDE w:val="0"/>
        <w:autoSpaceDN w:val="0"/>
        <w:adjustRightInd w:val="0"/>
        <w:rPr>
          <w:rFonts w:cs="Arial"/>
          <w:color w:val="000000"/>
          <w:szCs w:val="32"/>
        </w:rPr>
      </w:pPr>
    </w:p>
    <w:p w:rsidR="006941BD" w:rsidRDefault="006941BD"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Pr="00893816" w:rsidRDefault="003E47E0" w:rsidP="003E47E0">
      <w:pPr>
        <w:pStyle w:val="Heading1"/>
        <w:rPr>
          <w:rFonts w:ascii="BNPP Rounded" w:hAnsi="BNPP Rounded"/>
          <w:b/>
          <w:sz w:val="32"/>
        </w:rPr>
      </w:pPr>
      <w:bookmarkStart w:id="12" w:name="_Toc104282210"/>
      <w:bookmarkStart w:id="13" w:name="_GoBack"/>
      <w:bookmarkEnd w:id="13"/>
      <w:r>
        <w:rPr>
          <w:rFonts w:ascii="BNPP Rounded" w:hAnsi="BNPP Rounded"/>
          <w:b/>
          <w:sz w:val="32"/>
        </w:rPr>
        <w:t>LEVERAGE RATIO</w:t>
      </w:r>
      <w:bookmarkEnd w:id="12"/>
    </w:p>
    <w:p w:rsidR="003E47E0" w:rsidRDefault="003E47E0" w:rsidP="00C01F1A">
      <w:pPr>
        <w:autoSpaceDE w:val="0"/>
        <w:autoSpaceDN w:val="0"/>
        <w:adjustRightInd w:val="0"/>
        <w:rPr>
          <w:rFonts w:cs="Arial"/>
          <w:color w:val="000000"/>
          <w:szCs w:val="32"/>
        </w:rPr>
      </w:pPr>
    </w:p>
    <w:p w:rsidR="003E47E0" w:rsidRDefault="003E47E0" w:rsidP="003E47E0">
      <w:pPr>
        <w:autoSpaceDE w:val="0"/>
        <w:autoSpaceDN w:val="0"/>
        <w:adjustRightInd w:val="0"/>
        <w:rPr>
          <w:rFonts w:cs="Arial"/>
          <w:color w:val="000000"/>
          <w:szCs w:val="32"/>
        </w:rPr>
      </w:pPr>
      <w:r w:rsidRPr="003E47E0">
        <w:rPr>
          <w:rFonts w:cs="Arial"/>
          <w:color w:val="000000"/>
          <w:szCs w:val="32"/>
        </w:rPr>
        <w:t>The leverage ratio</w:t>
      </w:r>
      <w:r w:rsidRPr="003E47E0">
        <w:rPr>
          <w:rFonts w:cs="Arial" w:hint="eastAsia"/>
          <w:color w:val="000000"/>
          <w:szCs w:val="32"/>
        </w:rPr>
        <w:t>’</w:t>
      </w:r>
      <w:r w:rsidRPr="003E47E0">
        <w:rPr>
          <w:rFonts w:cs="Arial"/>
          <w:color w:val="000000"/>
          <w:szCs w:val="32"/>
        </w:rPr>
        <w:t>s main objective is to serve as a complementary</w:t>
      </w:r>
      <w:r>
        <w:rPr>
          <w:rFonts w:cs="Arial"/>
          <w:color w:val="000000"/>
          <w:szCs w:val="32"/>
        </w:rPr>
        <w:t xml:space="preserve"> </w:t>
      </w:r>
      <w:r w:rsidRPr="003E47E0">
        <w:rPr>
          <w:rFonts w:cs="Arial"/>
          <w:color w:val="000000"/>
          <w:szCs w:val="32"/>
        </w:rPr>
        <w:t>measure to the risk-based capital requirements (back-stop principle).</w:t>
      </w:r>
      <w:r>
        <w:rPr>
          <w:rFonts w:cs="Arial"/>
          <w:color w:val="000000"/>
          <w:szCs w:val="32"/>
        </w:rPr>
        <w:t xml:space="preserve"> </w:t>
      </w:r>
      <w:r w:rsidRPr="003E47E0">
        <w:rPr>
          <w:rFonts w:cs="Arial"/>
          <w:color w:val="000000"/>
          <w:szCs w:val="32"/>
        </w:rPr>
        <w:t>It is calculated as the ratio between Tier 1 capital and an exposure</w:t>
      </w:r>
      <w:r>
        <w:rPr>
          <w:rFonts w:cs="Arial"/>
          <w:color w:val="000000"/>
          <w:szCs w:val="32"/>
        </w:rPr>
        <w:t xml:space="preserve"> </w:t>
      </w:r>
      <w:r w:rsidRPr="003E47E0">
        <w:rPr>
          <w:rFonts w:cs="Arial"/>
          <w:color w:val="000000"/>
          <w:szCs w:val="32"/>
        </w:rPr>
        <w:t>measure calculated using on- and off-balance sheet commitments valued</w:t>
      </w:r>
      <w:r>
        <w:rPr>
          <w:rFonts w:cs="Arial"/>
          <w:color w:val="000000"/>
          <w:szCs w:val="32"/>
        </w:rPr>
        <w:t xml:space="preserve"> </w:t>
      </w:r>
      <w:r w:rsidRPr="003E47E0">
        <w:rPr>
          <w:rFonts w:cs="Arial"/>
          <w:color w:val="000000"/>
          <w:szCs w:val="32"/>
        </w:rPr>
        <w:t>using a prudential approach.</w:t>
      </w: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r>
        <w:rPr>
          <w:rFonts w:cs="Arial"/>
          <w:color w:val="000000"/>
          <w:szCs w:val="32"/>
        </w:rPr>
        <w:t>The Central Bank of UAE has first introduced Leverage ratio from 31 Dec 2021 and therefore no comparative information is available.</w:t>
      </w:r>
    </w:p>
    <w:p w:rsidR="003E47E0" w:rsidRDefault="003E47E0" w:rsidP="00C01F1A">
      <w:pPr>
        <w:autoSpaceDE w:val="0"/>
        <w:autoSpaceDN w:val="0"/>
        <w:adjustRightInd w:val="0"/>
        <w:rPr>
          <w:rFonts w:cs="Arial"/>
          <w:color w:val="000000"/>
          <w:szCs w:val="32"/>
        </w:rPr>
      </w:pPr>
    </w:p>
    <w:p w:rsidR="003E47E0" w:rsidRDefault="003E47E0" w:rsidP="003E47E0">
      <w:pPr>
        <w:autoSpaceDE w:val="0"/>
        <w:autoSpaceDN w:val="0"/>
        <w:adjustRightInd w:val="0"/>
        <w:jc w:val="center"/>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E747EC" w:rsidP="00E747EC">
      <w:pPr>
        <w:autoSpaceDE w:val="0"/>
        <w:autoSpaceDN w:val="0"/>
        <w:adjustRightInd w:val="0"/>
        <w:jc w:val="center"/>
        <w:rPr>
          <w:rFonts w:cs="Arial"/>
          <w:color w:val="000000"/>
          <w:szCs w:val="32"/>
        </w:rPr>
      </w:pPr>
      <w:r w:rsidRPr="00E747EC">
        <w:rPr>
          <w:noProof/>
          <w:lang w:val="en-US" w:eastAsia="ja-JP"/>
        </w:rPr>
        <w:drawing>
          <wp:inline distT="0" distB="0" distL="0" distR="0">
            <wp:extent cx="3379470" cy="866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9470" cy="866775"/>
                    </a:xfrm>
                    <a:prstGeom prst="rect">
                      <a:avLst/>
                    </a:prstGeom>
                    <a:noFill/>
                    <a:ln>
                      <a:noFill/>
                    </a:ln>
                  </pic:spPr>
                </pic:pic>
              </a:graphicData>
            </a:graphic>
          </wp:inline>
        </w:drawing>
      </w: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3E47E0" w:rsidRDefault="003E47E0" w:rsidP="00C01F1A">
      <w:pPr>
        <w:autoSpaceDE w:val="0"/>
        <w:autoSpaceDN w:val="0"/>
        <w:adjustRightInd w:val="0"/>
        <w:rPr>
          <w:rFonts w:cs="Arial"/>
          <w:color w:val="000000"/>
          <w:szCs w:val="32"/>
        </w:rPr>
      </w:pPr>
    </w:p>
    <w:p w:rsidR="00C01F1A" w:rsidRPr="00893816" w:rsidRDefault="00C01F1A" w:rsidP="00C01F1A">
      <w:pPr>
        <w:pStyle w:val="Heading1"/>
        <w:rPr>
          <w:rFonts w:ascii="BNPP Rounded" w:hAnsi="BNPP Rounded"/>
          <w:b/>
          <w:sz w:val="32"/>
        </w:rPr>
      </w:pPr>
      <w:bookmarkStart w:id="14" w:name="_Toc104282211"/>
      <w:r w:rsidRPr="00893816">
        <w:rPr>
          <w:rFonts w:ascii="BNPP Rounded" w:hAnsi="BNPP Rounded"/>
          <w:b/>
          <w:sz w:val="32"/>
        </w:rPr>
        <w:lastRenderedPageBreak/>
        <w:t>REMUNERATION</w:t>
      </w:r>
      <w:bookmarkEnd w:id="14"/>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Fonts w:cs="Arial"/>
          <w:color w:val="000000"/>
          <w:szCs w:val="32"/>
        </w:rPr>
      </w:pPr>
      <w:r w:rsidRPr="00F65152">
        <w:rPr>
          <w:rFonts w:cs="Arial"/>
          <w:color w:val="000000"/>
          <w:szCs w:val="32"/>
        </w:rPr>
        <w:t xml:space="preserve">BNP Paribas </w:t>
      </w:r>
      <w:r w:rsidR="00C606DF">
        <w:rPr>
          <w:rFonts w:cs="Arial"/>
          <w:color w:val="000000"/>
          <w:szCs w:val="32"/>
        </w:rPr>
        <w:t>UAE</w:t>
      </w:r>
      <w:r w:rsidRPr="00F65152">
        <w:rPr>
          <w:rFonts w:cs="Arial"/>
          <w:color w:val="000000"/>
          <w:szCs w:val="32"/>
        </w:rPr>
        <w:t xml:space="preserve"> Branch follows the BNP Paribas Group compensation guidelines and compensation policy.</w:t>
      </w:r>
    </w:p>
    <w:p w:rsidR="00C01F1A" w:rsidRPr="00F65152" w:rsidRDefault="00C01F1A" w:rsidP="00C01F1A">
      <w:pPr>
        <w:autoSpaceDE w:val="0"/>
        <w:autoSpaceDN w:val="0"/>
        <w:adjustRightInd w:val="0"/>
        <w:rPr>
          <w:rFonts w:cs="Arial"/>
          <w:color w:val="000000"/>
          <w:szCs w:val="32"/>
        </w:rPr>
      </w:pPr>
    </w:p>
    <w:p w:rsidR="00540606" w:rsidRPr="00F65152" w:rsidRDefault="00C01F1A" w:rsidP="00540606">
      <w:pPr>
        <w:autoSpaceDE w:val="0"/>
        <w:autoSpaceDN w:val="0"/>
        <w:adjustRightInd w:val="0"/>
        <w:rPr>
          <w:rFonts w:cs="Arial"/>
          <w:i/>
          <w:color w:val="000000"/>
          <w:sz w:val="16"/>
        </w:rPr>
      </w:pPr>
      <w:r w:rsidRPr="00F65152">
        <w:rPr>
          <w:rFonts w:cs="Arial"/>
          <w:i/>
          <w:color w:val="000000"/>
          <w:sz w:val="16"/>
          <w:szCs w:val="32"/>
        </w:rPr>
        <w:t>The BNP Paribas Group Compensation document can be found under:</w:t>
      </w:r>
      <w:r w:rsidR="00736022" w:rsidRPr="00F65152">
        <w:rPr>
          <w:rFonts w:cs="Arial"/>
          <w:i/>
          <w:color w:val="000000"/>
          <w:sz w:val="16"/>
          <w:szCs w:val="32"/>
        </w:rPr>
        <w:t xml:space="preserve"> </w:t>
      </w:r>
      <w:hyperlink r:id="rId23" w:history="1">
        <w:r w:rsidR="00540606" w:rsidRPr="00F65152">
          <w:rPr>
            <w:rStyle w:val="Hyperlink"/>
            <w:rFonts w:cs="Arial"/>
            <w:i/>
            <w:sz w:val="16"/>
          </w:rPr>
          <w:t>https://invest.bnpparibas.com/en/compensation-regulated-employees</w:t>
        </w:r>
      </w:hyperlink>
    </w:p>
    <w:p w:rsidR="00C01F1A" w:rsidRPr="00F65152" w:rsidRDefault="00C01F1A" w:rsidP="001C1C62">
      <w:pPr>
        <w:autoSpaceDE w:val="0"/>
        <w:autoSpaceDN w:val="0"/>
        <w:adjustRightInd w:val="0"/>
        <w:rPr>
          <w:rFonts w:cs="Arial"/>
          <w:color w:val="000000"/>
        </w:rPr>
      </w:pPr>
    </w:p>
    <w:p w:rsidR="009C7D30" w:rsidRPr="00F65152" w:rsidRDefault="001C1C62" w:rsidP="00283C6E">
      <w:pPr>
        <w:autoSpaceDE w:val="0"/>
        <w:autoSpaceDN w:val="0"/>
        <w:adjustRightInd w:val="0"/>
        <w:ind w:right="221"/>
        <w:jc w:val="both"/>
        <w:rPr>
          <w:rFonts w:cs="Arial"/>
          <w:color w:val="000000"/>
          <w:szCs w:val="32"/>
        </w:rPr>
      </w:pPr>
      <w:r w:rsidRPr="00F65152">
        <w:rPr>
          <w:rFonts w:cs="Arial"/>
          <w:color w:val="000000"/>
          <w:szCs w:val="32"/>
        </w:rPr>
        <w:t xml:space="preserve">The BNP Paribas Group compensation principles </w:t>
      </w:r>
      <w:r w:rsidR="00736022" w:rsidRPr="00F65152">
        <w:rPr>
          <w:rFonts w:cs="Arial"/>
          <w:color w:val="000000"/>
          <w:szCs w:val="32"/>
        </w:rPr>
        <w:t xml:space="preserve">and compensation policy </w:t>
      </w:r>
      <w:r w:rsidRPr="00F65152">
        <w:rPr>
          <w:rFonts w:cs="Arial"/>
          <w:color w:val="000000"/>
          <w:szCs w:val="32"/>
        </w:rPr>
        <w:t xml:space="preserve">are designed and proposed by Group Human Resources in cooperation with the relevant business lines. They are presented for validation to the Group Compliance, Risk and Finance Committee (CRIF), chaired by the General Management, and then presented to the Compensation Committee before approval by the Board of Directors. Since 2014, the General Shareholders Meeting is annually consulted on some subjects. </w:t>
      </w:r>
    </w:p>
    <w:p w:rsidR="009C7D30" w:rsidRPr="00F65152" w:rsidRDefault="009C7D30" w:rsidP="00283C6E">
      <w:pPr>
        <w:autoSpaceDE w:val="0"/>
        <w:autoSpaceDN w:val="0"/>
        <w:adjustRightInd w:val="0"/>
        <w:ind w:right="221"/>
        <w:jc w:val="both"/>
        <w:rPr>
          <w:rFonts w:cs="Arial"/>
          <w:color w:val="000000"/>
          <w:szCs w:val="32"/>
        </w:rPr>
      </w:pPr>
    </w:p>
    <w:p w:rsidR="00C01F1A" w:rsidRPr="00F65152" w:rsidRDefault="001C1C62" w:rsidP="004A1D35">
      <w:pPr>
        <w:autoSpaceDE w:val="0"/>
        <w:autoSpaceDN w:val="0"/>
        <w:adjustRightInd w:val="0"/>
        <w:jc w:val="center"/>
        <w:rPr>
          <w:rFonts w:cs="Arial"/>
          <w:color w:val="000000"/>
          <w:szCs w:val="32"/>
        </w:rPr>
      </w:pPr>
      <w:r w:rsidRPr="00F65152">
        <w:rPr>
          <w:noProof/>
          <w:lang w:val="en-US" w:eastAsia="ja-JP"/>
        </w:rPr>
        <w:drawing>
          <wp:inline distT="0" distB="0" distL="0" distR="0" wp14:anchorId="4F08437B" wp14:editId="0B11A153">
            <wp:extent cx="6023504" cy="3063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030534" cy="3066815"/>
                    </a:xfrm>
                    <a:prstGeom prst="rect">
                      <a:avLst/>
                    </a:prstGeom>
                  </pic:spPr>
                </pic:pic>
              </a:graphicData>
            </a:graphic>
          </wp:inline>
        </w:drawing>
      </w:r>
    </w:p>
    <w:p w:rsidR="00C01F1A" w:rsidRPr="00F65152" w:rsidRDefault="00C01F1A" w:rsidP="00C01F1A">
      <w:pPr>
        <w:autoSpaceDE w:val="0"/>
        <w:autoSpaceDN w:val="0"/>
        <w:adjustRightInd w:val="0"/>
        <w:rPr>
          <w:rFonts w:cs="Arial"/>
          <w:color w:val="000000"/>
          <w:szCs w:val="32"/>
        </w:rPr>
      </w:pPr>
    </w:p>
    <w:p w:rsidR="00C01F1A" w:rsidRPr="00F65152" w:rsidRDefault="00C01F1A" w:rsidP="00C01F1A">
      <w:pPr>
        <w:autoSpaceDE w:val="0"/>
        <w:autoSpaceDN w:val="0"/>
        <w:adjustRightInd w:val="0"/>
        <w:rPr>
          <w:rFonts w:cs="Arial"/>
          <w:color w:val="000000"/>
          <w:szCs w:val="32"/>
        </w:rPr>
      </w:pPr>
      <w:r w:rsidRPr="00F65152">
        <w:rPr>
          <w:rFonts w:cs="Arial"/>
          <w:color w:val="000000"/>
          <w:szCs w:val="32"/>
        </w:rPr>
        <w:t>Compensation for Branch employees whose professional activities have a significant impact on the Branch’s risk profile:</w:t>
      </w:r>
    </w:p>
    <w:p w:rsidR="00C01F1A" w:rsidRPr="00F65152" w:rsidRDefault="00C01F1A" w:rsidP="00C01F1A">
      <w:pPr>
        <w:autoSpaceDE w:val="0"/>
        <w:autoSpaceDN w:val="0"/>
        <w:adjustRightInd w:val="0"/>
        <w:rPr>
          <w:rFonts w:cs="Arial"/>
          <w:color w:val="000000"/>
          <w:szCs w:val="32"/>
        </w:rPr>
      </w:pPr>
    </w:p>
    <w:p w:rsidR="00C01F1A" w:rsidRPr="00F65152" w:rsidRDefault="00C01F1A" w:rsidP="00736022">
      <w:pPr>
        <w:autoSpaceDE w:val="0"/>
        <w:autoSpaceDN w:val="0"/>
        <w:adjustRightInd w:val="0"/>
        <w:ind w:left="0"/>
        <w:jc w:val="center"/>
        <w:rPr>
          <w:rFonts w:cs="Arial"/>
          <w:color w:val="000000"/>
          <w:szCs w:val="32"/>
        </w:rPr>
      </w:pPr>
    </w:p>
    <w:p w:rsidR="00EA754E" w:rsidRDefault="00FD5C3D" w:rsidP="00457A8F">
      <w:pPr>
        <w:ind w:left="0"/>
        <w:jc w:val="center"/>
      </w:pPr>
      <w:r w:rsidRPr="00FD5C3D">
        <w:rPr>
          <w:noProof/>
          <w:lang w:val="en-US" w:eastAsia="ja-JP"/>
        </w:rPr>
        <w:drawing>
          <wp:inline distT="0" distB="0" distL="0" distR="0">
            <wp:extent cx="4267200" cy="52387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0" cy="523875"/>
                    </a:xfrm>
                    <a:prstGeom prst="rect">
                      <a:avLst/>
                    </a:prstGeom>
                    <a:noFill/>
                    <a:ln>
                      <a:noFill/>
                    </a:ln>
                  </pic:spPr>
                </pic:pic>
              </a:graphicData>
            </a:graphic>
          </wp:inline>
        </w:drawing>
      </w: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6941BD">
      <w:pPr>
        <w:pStyle w:val="Heading1"/>
        <w:rPr>
          <w:rFonts w:ascii="BNPP Rounded" w:hAnsi="BNPP Rounded"/>
          <w:b/>
          <w:sz w:val="32"/>
        </w:rPr>
      </w:pPr>
      <w:bookmarkStart w:id="15" w:name="_Toc104282212"/>
      <w:r w:rsidRPr="00893816">
        <w:rPr>
          <w:rFonts w:ascii="BNPP Rounded" w:hAnsi="BNPP Rounded"/>
          <w:b/>
          <w:sz w:val="32"/>
        </w:rPr>
        <w:t>APPENDIX</w:t>
      </w:r>
      <w:bookmarkEnd w:id="15"/>
    </w:p>
    <w:p w:rsidR="006941BD" w:rsidRDefault="006941BD" w:rsidP="00457A8F">
      <w:pPr>
        <w:ind w:left="0"/>
        <w:jc w:val="center"/>
      </w:pPr>
    </w:p>
    <w:p w:rsidR="006941BD" w:rsidRDefault="006941BD" w:rsidP="00457A8F">
      <w:pPr>
        <w:ind w:left="0"/>
        <w:jc w:val="center"/>
      </w:pPr>
    </w:p>
    <w:p w:rsidR="006941BD" w:rsidRDefault="005117A5" w:rsidP="00457A8F">
      <w:pPr>
        <w:ind w:left="0"/>
        <w:jc w:val="center"/>
      </w:pPr>
      <w: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1pt" o:ole="">
            <v:imagedata r:id="rId26" o:title=""/>
          </v:shape>
          <o:OLEObject Type="Embed" ProgID="Excel.Sheet.12" ShapeID="_x0000_i1025" DrawAspect="Icon" ObjectID="_1714902718" r:id="rId27"/>
        </w:object>
      </w: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Default="006941BD" w:rsidP="00457A8F">
      <w:pPr>
        <w:ind w:left="0"/>
        <w:jc w:val="center"/>
      </w:pPr>
    </w:p>
    <w:p w:rsidR="006941BD" w:rsidRPr="00F65152" w:rsidRDefault="006941BD" w:rsidP="00457A8F">
      <w:pPr>
        <w:ind w:left="0"/>
        <w:jc w:val="center"/>
      </w:pPr>
    </w:p>
    <w:sectPr w:rsidR="006941BD" w:rsidRPr="00F65152" w:rsidSect="00CB21BD">
      <w:headerReference w:type="even" r:id="rId28"/>
      <w:headerReference w:type="default" r:id="rId29"/>
      <w:footerReference w:type="even" r:id="rId30"/>
      <w:footerReference w:type="default" r:id="rId31"/>
      <w:headerReference w:type="first" r:id="rId32"/>
      <w:footerReference w:type="first" r:id="rId33"/>
      <w:pgSz w:w="11907" w:h="16839" w:code="9"/>
      <w:pgMar w:top="709" w:right="1197" w:bottom="142" w:left="720" w:header="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B0" w:rsidRDefault="008B06B0" w:rsidP="002970E7">
      <w:r>
        <w:separator/>
      </w:r>
    </w:p>
  </w:endnote>
  <w:endnote w:type="continuationSeparator" w:id="0">
    <w:p w:rsidR="008B06B0" w:rsidRDefault="008B06B0" w:rsidP="0029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BNPP Sans Light">
    <w:panose1 w:val="02000503020000020004"/>
    <w:charset w:val="00"/>
    <w:family w:val="modern"/>
    <w:notTrueType/>
    <w:pitch w:val="variable"/>
    <w:sig w:usb0="A00002AF"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BNPP Sans Condensed">
    <w:altName w:val="Times New Roman"/>
    <w:panose1 w:val="02000000000000000000"/>
    <w:charset w:val="00"/>
    <w:family w:val="modern"/>
    <w:notTrueType/>
    <w:pitch w:val="variable"/>
    <w:sig w:usb0="A00002AF" w:usb1="5000204A" w:usb2="00000000" w:usb3="00000000" w:csb0="00000097"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NPP Rounded">
    <w:panose1 w:val="02000000000000000000"/>
    <w:charset w:val="00"/>
    <w:family w:val="auto"/>
    <w:pitch w:val="variable"/>
    <w:sig w:usb0="A00002AF" w:usb1="5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96" w:rsidRDefault="00C1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B0" w:rsidRDefault="008B06B0" w:rsidP="005C5877">
    <w:pPr>
      <w:pStyle w:val="Footer"/>
      <w:tabs>
        <w:tab w:val="clear" w:pos="10773"/>
        <w:tab w:val="clear" w:pos="11057"/>
        <w:tab w:val="right" w:pos="10348"/>
        <w:tab w:val="right" w:pos="10632"/>
      </w:tabs>
    </w:pPr>
  </w:p>
  <w:p w:rsidR="008B06B0" w:rsidRDefault="008B06B0" w:rsidP="002B3D98">
    <w:pPr>
      <w:pStyle w:val="Footer"/>
      <w:tabs>
        <w:tab w:val="clear" w:pos="10773"/>
        <w:tab w:val="clear" w:pos="11057"/>
        <w:tab w:val="right" w:pos="10206"/>
        <w:tab w:val="right" w:pos="10632"/>
      </w:tabs>
      <w:rPr>
        <w:b/>
      </w:rPr>
    </w:pPr>
    <w:r>
      <w:tab/>
      <w:t xml:space="preserve">  </w:t>
    </w:r>
    <w:r w:rsidRPr="003634EE">
      <w:tab/>
    </w:r>
    <w:r>
      <w:tab/>
    </w:r>
    <w:r w:rsidRPr="003634EE">
      <w:t xml:space="preserve"> </w:t>
    </w:r>
    <w:r w:rsidRPr="003634EE">
      <w:rPr>
        <w:b/>
      </w:rPr>
      <w:fldChar w:fldCharType="begin"/>
    </w:r>
    <w:r w:rsidRPr="003634EE">
      <w:rPr>
        <w:b/>
      </w:rPr>
      <w:instrText xml:space="preserve"> PAGE </w:instrText>
    </w:r>
    <w:r w:rsidRPr="003634EE">
      <w:rPr>
        <w:b/>
      </w:rPr>
      <w:fldChar w:fldCharType="separate"/>
    </w:r>
    <w:r w:rsidR="00C16196">
      <w:rPr>
        <w:b/>
        <w:noProof/>
      </w:rPr>
      <w:t>14</w:t>
    </w:r>
    <w:r w:rsidRPr="003634EE">
      <w:rPr>
        <w:b/>
      </w:rPr>
      <w:fldChar w:fldCharType="end"/>
    </w:r>
  </w:p>
  <w:p w:rsidR="008B06B0" w:rsidRDefault="008B06B0" w:rsidP="003634EE">
    <w:pPr>
      <w:pStyle w:val="Footer"/>
      <w:rPr>
        <w:b/>
      </w:rPr>
    </w:pPr>
  </w:p>
  <w:p w:rsidR="008B06B0" w:rsidRDefault="008B06B0" w:rsidP="003634EE">
    <w:pPr>
      <w:pStyle w:val="Footer"/>
      <w:rPr>
        <w:b/>
      </w:rPr>
    </w:pPr>
    <w:r>
      <w:rPr>
        <w:noProof/>
        <w:lang w:val="en-US" w:eastAsia="ja-JP"/>
      </w:rPr>
      <mc:AlternateContent>
        <mc:Choice Requires="wpg">
          <w:drawing>
            <wp:anchor distT="0" distB="0" distL="114300" distR="114300" simplePos="0" relativeHeight="251652096" behindDoc="1" locked="0" layoutInCell="1" allowOverlap="1" wp14:anchorId="531A902B" wp14:editId="3D199FF5">
              <wp:simplePos x="0" y="0"/>
              <wp:positionH relativeFrom="page">
                <wp:posOffset>268605</wp:posOffset>
              </wp:positionH>
              <wp:positionV relativeFrom="page">
                <wp:posOffset>9766494</wp:posOffset>
              </wp:positionV>
              <wp:extent cx="7019925" cy="1270"/>
              <wp:effectExtent l="0" t="0" r="28575" b="17780"/>
              <wp:wrapNone/>
              <wp:docPr id="1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1270"/>
                        <a:chOff x="552" y="10091"/>
                        <a:chExt cx="13640" cy="2"/>
                      </a:xfrm>
                    </wpg:grpSpPr>
                    <wps:wsp>
                      <wps:cNvPr id="134" name="Freeform 3"/>
                      <wps:cNvSpPr>
                        <a:spLocks/>
                      </wps:cNvSpPr>
                      <wps:spPr bwMode="auto">
                        <a:xfrm>
                          <a:off x="552" y="10091"/>
                          <a:ext cx="13640" cy="2"/>
                        </a:xfrm>
                        <a:custGeom>
                          <a:avLst/>
                          <a:gdLst>
                            <a:gd name="T0" fmla="+- 0 552 552"/>
                            <a:gd name="T1" fmla="*/ T0 w 13640"/>
                            <a:gd name="T2" fmla="+- 0 14192 552"/>
                            <a:gd name="T3" fmla="*/ T2 w 13640"/>
                          </a:gdLst>
                          <a:ahLst/>
                          <a:cxnLst>
                            <a:cxn ang="0">
                              <a:pos x="T1" y="0"/>
                            </a:cxn>
                            <a:cxn ang="0">
                              <a:pos x="T3" y="0"/>
                            </a:cxn>
                          </a:cxnLst>
                          <a:rect l="0" t="0" r="r" b="b"/>
                          <a:pathLst>
                            <a:path w="13640">
                              <a:moveTo>
                                <a:pt x="0" y="0"/>
                              </a:moveTo>
                              <a:lnTo>
                                <a:pt x="136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56C2B" id="Group 2" o:spid="_x0000_s1026" style="position:absolute;margin-left:21.15pt;margin-top:769pt;width:552.75pt;height:.1pt;z-index:-251664384;mso-position-horizontal-relative:page;mso-position-vertical-relative:page" coordorigin="552,10091" coordsize="13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">
              <v:shape id="Freeform 3" o:spid="_x0000_s1027" style="position:absolute;left:552;top:10091;width:13640;height:2;visibility:visible;mso-wrap-style:square;v-text-anchor:top" coordsize="13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" path="m,l13640,e" filled="f" strokeweight="1pt">
                <v:path arrowok="t" o:connecttype="custom" o:connectlocs="0,0;13640,0" o:connectangles="0,0"/>
              </v:shape>
              <w10:wrap anchorx="page" anchory="page"/>
            </v:group>
          </w:pict>
        </mc:Fallback>
      </mc:AlternateContent>
    </w:r>
  </w:p>
  <w:p w:rsidR="008B06B0" w:rsidRDefault="008B06B0" w:rsidP="003634EE">
    <w:pPr>
      <w:pStyle w:val="Footer"/>
      <w:rPr>
        <w:b/>
      </w:rPr>
    </w:pPr>
    <w:r w:rsidRPr="000965E2">
      <w:rPr>
        <w:noProof/>
        <w:lang w:val="en-US" w:eastAsia="ja-JP"/>
      </w:rPr>
      <w:drawing>
        <wp:anchor distT="0" distB="0" distL="114300" distR="114300" simplePos="0" relativeHeight="251660288" behindDoc="0" locked="0" layoutInCell="1" allowOverlap="1" wp14:anchorId="79464111" wp14:editId="2910A744">
          <wp:simplePos x="0" y="0"/>
          <wp:positionH relativeFrom="column">
            <wp:posOffset>36195</wp:posOffset>
          </wp:positionH>
          <wp:positionV relativeFrom="paragraph">
            <wp:posOffset>114935</wp:posOffset>
          </wp:positionV>
          <wp:extent cx="1880235" cy="397510"/>
          <wp:effectExtent l="0" t="0" r="5715" b="2540"/>
          <wp:wrapNone/>
          <wp:docPr id="237" name="Picture 237" descr="C:\Users\ChristineB\Seenk-D\BNPP\2015-02\PPT_4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ChristineB\Seenk-D\BNPP\2015-02\PPT_43-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3975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965E2">
      <w:rPr>
        <w:noProof/>
        <w:lang w:val="en-US" w:eastAsia="ja-JP"/>
      </w:rPr>
      <w:drawing>
        <wp:anchor distT="0" distB="0" distL="114300" distR="114300" simplePos="0" relativeHeight="251664384" behindDoc="0" locked="0" layoutInCell="1" allowOverlap="1" wp14:anchorId="1B1A47C8" wp14:editId="25E573ED">
          <wp:simplePos x="0" y="0"/>
          <wp:positionH relativeFrom="column">
            <wp:posOffset>5834186</wp:posOffset>
          </wp:positionH>
          <wp:positionV relativeFrom="paragraph">
            <wp:posOffset>15875</wp:posOffset>
          </wp:positionV>
          <wp:extent cx="1089025" cy="626745"/>
          <wp:effectExtent l="0" t="0" r="0" b="0"/>
          <wp:wrapNone/>
          <wp:docPr id="23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025" cy="6267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8B06B0" w:rsidRDefault="008B06B0" w:rsidP="003634EE">
    <w:pPr>
      <w:pStyle w:val="Footer"/>
      <w:rPr>
        <w:b/>
      </w:rPr>
    </w:pPr>
  </w:p>
  <w:p w:rsidR="008B06B0" w:rsidRPr="003634EE" w:rsidRDefault="008B06B0" w:rsidP="00363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B0" w:rsidRDefault="0084275A" w:rsidP="003634EE">
    <w:pPr>
      <w:pStyle w:val="Footer"/>
    </w:pPr>
    <w:r>
      <w:rPr>
        <w:noProof/>
        <w:lang w:val="en-US" w:eastAsia="ja-JP"/>
      </w:rPr>
      <w:drawing>
        <wp:inline distT="0" distB="0" distL="0" distR="0" wp14:anchorId="1F14579A" wp14:editId="777B5B41">
          <wp:extent cx="6057900" cy="111442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57900" cy="1114425"/>
                  </a:xfrm>
                  <a:prstGeom prst="rect">
                    <a:avLst/>
                  </a:prstGeom>
                </pic:spPr>
              </pic:pic>
            </a:graphicData>
          </a:graphic>
        </wp:inline>
      </w:drawing>
    </w:r>
    <w:r w:rsidR="008B06B0">
      <w:rPr>
        <w:noProof/>
        <w:lang w:val="en-US" w:eastAsia="ja-JP"/>
      </w:rPr>
      <mc:AlternateContent>
        <mc:Choice Requires="wps">
          <w:drawing>
            <wp:anchor distT="0" distB="0" distL="114300" distR="114300" simplePos="0" relativeHeight="251652608" behindDoc="1" locked="0" layoutInCell="1" allowOverlap="1" wp14:anchorId="6AF6495C" wp14:editId="79CD94B3">
              <wp:simplePos x="0" y="0"/>
              <wp:positionH relativeFrom="column">
                <wp:posOffset>-280670</wp:posOffset>
              </wp:positionH>
              <wp:positionV relativeFrom="paragraph">
                <wp:posOffset>-1104900</wp:posOffset>
              </wp:positionV>
              <wp:extent cx="7560000" cy="1621155"/>
              <wp:effectExtent l="0" t="0" r="9525" b="4445"/>
              <wp:wrapNone/>
              <wp:docPr id="1"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621155"/>
                      </a:xfrm>
                      <a:custGeom>
                        <a:avLst/>
                        <a:gdLst>
                          <a:gd name="T0" fmla="*/ 0 w 14744"/>
                          <a:gd name="T1" fmla="+- 0 11340 8278"/>
                          <a:gd name="T2" fmla="*/ 11340 h 3062"/>
                          <a:gd name="T3" fmla="*/ 14743 w 14744"/>
                          <a:gd name="T4" fmla="+- 0 11340 8278"/>
                          <a:gd name="T5" fmla="*/ 11340 h 3062"/>
                          <a:gd name="T6" fmla="*/ 14743 w 14744"/>
                          <a:gd name="T7" fmla="+- 0 8278 8278"/>
                          <a:gd name="T8" fmla="*/ 8278 h 3062"/>
                          <a:gd name="T9" fmla="*/ 0 w 14744"/>
                          <a:gd name="T10" fmla="+- 0 8278 8278"/>
                          <a:gd name="T11" fmla="*/ 8278 h 3062"/>
                          <a:gd name="T12" fmla="*/ 0 w 14744"/>
                          <a:gd name="T13" fmla="+- 0 11340 8278"/>
                          <a:gd name="T14" fmla="*/ 11340 h 3062"/>
                        </a:gdLst>
                        <a:ahLst/>
                        <a:cxnLst>
                          <a:cxn ang="0">
                            <a:pos x="T0" y="T2"/>
                          </a:cxn>
                          <a:cxn ang="0">
                            <a:pos x="T3" y="T5"/>
                          </a:cxn>
                          <a:cxn ang="0">
                            <a:pos x="T6" y="T8"/>
                          </a:cxn>
                          <a:cxn ang="0">
                            <a:pos x="T9" y="T11"/>
                          </a:cxn>
                          <a:cxn ang="0">
                            <a:pos x="T12" y="T14"/>
                          </a:cxn>
                        </a:cxnLst>
                        <a:rect l="0" t="0" r="r" b="b"/>
                        <a:pathLst>
                          <a:path w="14744" h="3062">
                            <a:moveTo>
                              <a:pt x="0" y="3062"/>
                            </a:moveTo>
                            <a:lnTo>
                              <a:pt x="14743" y="3062"/>
                            </a:lnTo>
                            <a:lnTo>
                              <a:pt x="14743" y="0"/>
                            </a:lnTo>
                            <a:lnTo>
                              <a:pt x="0" y="0"/>
                            </a:lnTo>
                            <a:lnTo>
                              <a:pt x="0" y="30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0DB3F" id="Freeform 113" o:spid="_x0000_s1026" style="position:absolute;margin-left:-22.1pt;margin-top:-87pt;width:595.3pt;height:12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44,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" path="m,3062r14743,l14743,,,,,3062xe" stroked="f">
              <v:path arrowok="t" o:connecttype="custom" o:connectlocs="0,6003886;7559487,6003886;7559487,4382731;0,4382731;0,6003886"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B0" w:rsidRDefault="008B06B0" w:rsidP="002970E7">
      <w:r>
        <w:separator/>
      </w:r>
    </w:p>
  </w:footnote>
  <w:footnote w:type="continuationSeparator" w:id="0">
    <w:p w:rsidR="008B06B0" w:rsidRDefault="008B06B0" w:rsidP="0029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96" w:rsidRDefault="00C16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96" w:rsidRDefault="00C16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B0" w:rsidRDefault="008B06B0" w:rsidP="002970E7">
    <w:pPr>
      <w:pStyle w:val="Header"/>
    </w:pPr>
    <w:r>
      <w:rPr>
        <w:noProof/>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62C"/>
    <w:multiLevelType w:val="hybridMultilevel"/>
    <w:tmpl w:val="7814102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8C50D5F"/>
    <w:multiLevelType w:val="hybridMultilevel"/>
    <w:tmpl w:val="5FBAF24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3D1DD6"/>
    <w:multiLevelType w:val="hybridMultilevel"/>
    <w:tmpl w:val="23E44A10"/>
    <w:lvl w:ilvl="0" w:tplc="B4D62B9A">
      <w:start w:val="1"/>
      <w:numFmt w:val="bullet"/>
      <w:pStyle w:val="Bullets2"/>
      <w:lvlText w:val=""/>
      <w:lvlJc w:val="left"/>
      <w:pPr>
        <w:ind w:left="549" w:hanging="262"/>
      </w:pPr>
      <w:rPr>
        <w:rFonts w:ascii="Symbol" w:hAnsi="Symbol" w:hint="default"/>
        <w:color w:val="auto"/>
        <w:w w:val="100"/>
        <w:sz w:val="20"/>
        <w:szCs w:val="20"/>
        <w:u w:color="808080" w:themeColor="background1" w:themeShade="80"/>
      </w:rPr>
    </w:lvl>
    <w:lvl w:ilvl="1" w:tplc="347C018C">
      <w:start w:val="1"/>
      <w:numFmt w:val="bullet"/>
      <w:lvlText w:val=""/>
      <w:lvlJc w:val="left"/>
      <w:pPr>
        <w:ind w:left="837" w:hanging="284"/>
      </w:pPr>
      <w:rPr>
        <w:rFonts w:ascii="Wingdings" w:eastAsia="Wingdings" w:hAnsi="Wingdings" w:hint="default"/>
        <w:w w:val="99"/>
        <w:sz w:val="20"/>
        <w:szCs w:val="20"/>
      </w:rPr>
    </w:lvl>
    <w:lvl w:ilvl="2" w:tplc="59349E50">
      <w:start w:val="1"/>
      <w:numFmt w:val="bullet"/>
      <w:lvlText w:val="•"/>
      <w:lvlJc w:val="left"/>
      <w:pPr>
        <w:ind w:left="2287" w:hanging="284"/>
      </w:pPr>
      <w:rPr>
        <w:rFonts w:hint="default"/>
      </w:rPr>
    </w:lvl>
    <w:lvl w:ilvl="3" w:tplc="0C2A2918">
      <w:start w:val="1"/>
      <w:numFmt w:val="bullet"/>
      <w:lvlText w:val="•"/>
      <w:lvlJc w:val="left"/>
      <w:pPr>
        <w:ind w:left="3734" w:hanging="284"/>
      </w:pPr>
      <w:rPr>
        <w:rFonts w:hint="default"/>
      </w:rPr>
    </w:lvl>
    <w:lvl w:ilvl="4" w:tplc="D13459A4">
      <w:start w:val="1"/>
      <w:numFmt w:val="bullet"/>
      <w:lvlText w:val="•"/>
      <w:lvlJc w:val="left"/>
      <w:pPr>
        <w:ind w:left="5181" w:hanging="284"/>
      </w:pPr>
      <w:rPr>
        <w:rFonts w:hint="default"/>
      </w:rPr>
    </w:lvl>
    <w:lvl w:ilvl="5" w:tplc="4C8AD3FA">
      <w:start w:val="1"/>
      <w:numFmt w:val="bullet"/>
      <w:lvlText w:val="•"/>
      <w:lvlJc w:val="left"/>
      <w:pPr>
        <w:ind w:left="6628" w:hanging="284"/>
      </w:pPr>
      <w:rPr>
        <w:rFonts w:hint="default"/>
      </w:rPr>
    </w:lvl>
    <w:lvl w:ilvl="6" w:tplc="DB0CFB44">
      <w:start w:val="1"/>
      <w:numFmt w:val="bullet"/>
      <w:lvlText w:val="•"/>
      <w:lvlJc w:val="left"/>
      <w:pPr>
        <w:ind w:left="8075" w:hanging="284"/>
      </w:pPr>
      <w:rPr>
        <w:rFonts w:hint="default"/>
      </w:rPr>
    </w:lvl>
    <w:lvl w:ilvl="7" w:tplc="1F5451F8">
      <w:start w:val="1"/>
      <w:numFmt w:val="bullet"/>
      <w:lvlText w:val="•"/>
      <w:lvlJc w:val="left"/>
      <w:pPr>
        <w:ind w:left="9522" w:hanging="284"/>
      </w:pPr>
      <w:rPr>
        <w:rFonts w:hint="default"/>
      </w:rPr>
    </w:lvl>
    <w:lvl w:ilvl="8" w:tplc="EDCA07AA">
      <w:start w:val="1"/>
      <w:numFmt w:val="bullet"/>
      <w:lvlText w:val="•"/>
      <w:lvlJc w:val="left"/>
      <w:pPr>
        <w:ind w:left="10969" w:hanging="284"/>
      </w:pPr>
      <w:rPr>
        <w:rFonts w:hint="default"/>
      </w:rPr>
    </w:lvl>
  </w:abstractNum>
  <w:abstractNum w:abstractNumId="3" w15:restartNumberingAfterBreak="0">
    <w:nsid w:val="122307CF"/>
    <w:multiLevelType w:val="hybridMultilevel"/>
    <w:tmpl w:val="198EB318"/>
    <w:lvl w:ilvl="0" w:tplc="34C0138A">
      <w:start w:val="1"/>
      <w:numFmt w:val="bullet"/>
      <w:pStyle w:val="Bullets1"/>
      <w:lvlText w:val=""/>
      <w:lvlJc w:val="left"/>
      <w:pPr>
        <w:ind w:left="403" w:hanging="274"/>
      </w:pPr>
      <w:rPr>
        <w:rFonts w:ascii="Wingdings" w:eastAsia="Wingdings" w:hAnsi="Wingdings" w:hint="default"/>
        <w:color w:val="00915A"/>
        <w:w w:val="100"/>
        <w:sz w:val="16"/>
        <w:szCs w:val="16"/>
      </w:rPr>
    </w:lvl>
    <w:lvl w:ilvl="1" w:tplc="C8AADB00">
      <w:start w:val="1"/>
      <w:numFmt w:val="bullet"/>
      <w:lvlText w:val="•"/>
      <w:lvlJc w:val="left"/>
      <w:pPr>
        <w:ind w:left="1746" w:hanging="274"/>
      </w:pPr>
      <w:rPr>
        <w:rFonts w:hint="default"/>
      </w:rPr>
    </w:lvl>
    <w:lvl w:ilvl="2" w:tplc="33CA5438">
      <w:start w:val="1"/>
      <w:numFmt w:val="bullet"/>
      <w:lvlText w:val="•"/>
      <w:lvlJc w:val="left"/>
      <w:pPr>
        <w:ind w:left="3092" w:hanging="274"/>
      </w:pPr>
      <w:rPr>
        <w:rFonts w:hint="default"/>
      </w:rPr>
    </w:lvl>
    <w:lvl w:ilvl="3" w:tplc="6B04D702">
      <w:start w:val="1"/>
      <w:numFmt w:val="bullet"/>
      <w:lvlText w:val="•"/>
      <w:lvlJc w:val="left"/>
      <w:pPr>
        <w:ind w:left="4438" w:hanging="274"/>
      </w:pPr>
      <w:rPr>
        <w:rFonts w:hint="default"/>
      </w:rPr>
    </w:lvl>
    <w:lvl w:ilvl="4" w:tplc="DEDA096E">
      <w:start w:val="1"/>
      <w:numFmt w:val="bullet"/>
      <w:lvlText w:val="•"/>
      <w:lvlJc w:val="left"/>
      <w:pPr>
        <w:ind w:left="5785" w:hanging="274"/>
      </w:pPr>
      <w:rPr>
        <w:rFonts w:hint="default"/>
      </w:rPr>
    </w:lvl>
    <w:lvl w:ilvl="5" w:tplc="25347F20">
      <w:start w:val="1"/>
      <w:numFmt w:val="bullet"/>
      <w:lvlText w:val="•"/>
      <w:lvlJc w:val="left"/>
      <w:pPr>
        <w:ind w:left="7131" w:hanging="274"/>
      </w:pPr>
      <w:rPr>
        <w:rFonts w:hint="default"/>
      </w:rPr>
    </w:lvl>
    <w:lvl w:ilvl="6" w:tplc="51EAF340">
      <w:start w:val="1"/>
      <w:numFmt w:val="bullet"/>
      <w:lvlText w:val="•"/>
      <w:lvlJc w:val="left"/>
      <w:pPr>
        <w:ind w:left="8477" w:hanging="274"/>
      </w:pPr>
      <w:rPr>
        <w:rFonts w:hint="default"/>
      </w:rPr>
    </w:lvl>
    <w:lvl w:ilvl="7" w:tplc="9D52F53E">
      <w:start w:val="1"/>
      <w:numFmt w:val="bullet"/>
      <w:lvlText w:val="•"/>
      <w:lvlJc w:val="left"/>
      <w:pPr>
        <w:ind w:left="9824" w:hanging="274"/>
      </w:pPr>
      <w:rPr>
        <w:rFonts w:hint="default"/>
      </w:rPr>
    </w:lvl>
    <w:lvl w:ilvl="8" w:tplc="F6ACB2DC">
      <w:start w:val="1"/>
      <w:numFmt w:val="bullet"/>
      <w:lvlText w:val="•"/>
      <w:lvlJc w:val="left"/>
      <w:pPr>
        <w:ind w:left="11170" w:hanging="274"/>
      </w:pPr>
      <w:rPr>
        <w:rFonts w:hint="default"/>
      </w:rPr>
    </w:lvl>
  </w:abstractNum>
  <w:abstractNum w:abstractNumId="4" w15:restartNumberingAfterBreak="0">
    <w:nsid w:val="156B6CAC"/>
    <w:multiLevelType w:val="hybridMultilevel"/>
    <w:tmpl w:val="ABB00D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1A47B0"/>
    <w:multiLevelType w:val="hybridMultilevel"/>
    <w:tmpl w:val="BB0AF6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B43E05"/>
    <w:multiLevelType w:val="hybridMultilevel"/>
    <w:tmpl w:val="0C54340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F7F70E3"/>
    <w:multiLevelType w:val="hybridMultilevel"/>
    <w:tmpl w:val="17068D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5C7C02"/>
    <w:multiLevelType w:val="hybridMultilevel"/>
    <w:tmpl w:val="4AAC0F1E"/>
    <w:lvl w:ilvl="0" w:tplc="C2966CCE">
      <w:start w:val="1"/>
      <w:numFmt w:val="bullet"/>
      <w:lvlText w:val=""/>
      <w:lvlJc w:val="left"/>
      <w:pPr>
        <w:ind w:left="549" w:hanging="262"/>
      </w:pPr>
      <w:rPr>
        <w:rFonts w:ascii="Wingdings" w:eastAsia="Wingdings" w:hAnsi="Wingdings" w:hint="default"/>
        <w:color w:val="00915A"/>
        <w:w w:val="100"/>
        <w:sz w:val="16"/>
        <w:szCs w:val="16"/>
      </w:rPr>
    </w:lvl>
    <w:lvl w:ilvl="1" w:tplc="347C018C">
      <w:start w:val="1"/>
      <w:numFmt w:val="bullet"/>
      <w:lvlText w:val=""/>
      <w:lvlJc w:val="left"/>
      <w:pPr>
        <w:ind w:left="837" w:hanging="284"/>
      </w:pPr>
      <w:rPr>
        <w:rFonts w:ascii="Wingdings" w:eastAsia="Wingdings" w:hAnsi="Wingdings" w:hint="default"/>
        <w:w w:val="99"/>
        <w:sz w:val="20"/>
        <w:szCs w:val="20"/>
      </w:rPr>
    </w:lvl>
    <w:lvl w:ilvl="2" w:tplc="59349E50">
      <w:start w:val="1"/>
      <w:numFmt w:val="bullet"/>
      <w:lvlText w:val="•"/>
      <w:lvlJc w:val="left"/>
      <w:pPr>
        <w:ind w:left="2287" w:hanging="284"/>
      </w:pPr>
      <w:rPr>
        <w:rFonts w:hint="default"/>
      </w:rPr>
    </w:lvl>
    <w:lvl w:ilvl="3" w:tplc="0C2A2918">
      <w:start w:val="1"/>
      <w:numFmt w:val="bullet"/>
      <w:lvlText w:val="•"/>
      <w:lvlJc w:val="left"/>
      <w:pPr>
        <w:ind w:left="3734" w:hanging="284"/>
      </w:pPr>
      <w:rPr>
        <w:rFonts w:hint="default"/>
      </w:rPr>
    </w:lvl>
    <w:lvl w:ilvl="4" w:tplc="D13459A4">
      <w:start w:val="1"/>
      <w:numFmt w:val="bullet"/>
      <w:lvlText w:val="•"/>
      <w:lvlJc w:val="left"/>
      <w:pPr>
        <w:ind w:left="5181" w:hanging="284"/>
      </w:pPr>
      <w:rPr>
        <w:rFonts w:hint="default"/>
      </w:rPr>
    </w:lvl>
    <w:lvl w:ilvl="5" w:tplc="4C8AD3FA">
      <w:start w:val="1"/>
      <w:numFmt w:val="bullet"/>
      <w:lvlText w:val="•"/>
      <w:lvlJc w:val="left"/>
      <w:pPr>
        <w:ind w:left="6628" w:hanging="284"/>
      </w:pPr>
      <w:rPr>
        <w:rFonts w:hint="default"/>
      </w:rPr>
    </w:lvl>
    <w:lvl w:ilvl="6" w:tplc="DB0CFB44">
      <w:start w:val="1"/>
      <w:numFmt w:val="bullet"/>
      <w:lvlText w:val="•"/>
      <w:lvlJc w:val="left"/>
      <w:pPr>
        <w:ind w:left="8075" w:hanging="284"/>
      </w:pPr>
      <w:rPr>
        <w:rFonts w:hint="default"/>
      </w:rPr>
    </w:lvl>
    <w:lvl w:ilvl="7" w:tplc="1F5451F8">
      <w:start w:val="1"/>
      <w:numFmt w:val="bullet"/>
      <w:lvlText w:val="•"/>
      <w:lvlJc w:val="left"/>
      <w:pPr>
        <w:ind w:left="9522" w:hanging="284"/>
      </w:pPr>
      <w:rPr>
        <w:rFonts w:hint="default"/>
      </w:rPr>
    </w:lvl>
    <w:lvl w:ilvl="8" w:tplc="EDCA07AA">
      <w:start w:val="1"/>
      <w:numFmt w:val="bullet"/>
      <w:lvlText w:val="•"/>
      <w:lvlJc w:val="left"/>
      <w:pPr>
        <w:ind w:left="10969" w:hanging="284"/>
      </w:pPr>
      <w:rPr>
        <w:rFonts w:hint="default"/>
      </w:rPr>
    </w:lvl>
  </w:abstractNum>
  <w:abstractNum w:abstractNumId="9" w15:restartNumberingAfterBreak="0">
    <w:nsid w:val="21877F41"/>
    <w:multiLevelType w:val="hybridMultilevel"/>
    <w:tmpl w:val="547EC3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81704"/>
    <w:multiLevelType w:val="hybridMultilevel"/>
    <w:tmpl w:val="61124A8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24BDC"/>
    <w:multiLevelType w:val="hybridMultilevel"/>
    <w:tmpl w:val="F0AEE67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75169C5"/>
    <w:multiLevelType w:val="hybridMultilevel"/>
    <w:tmpl w:val="DD84CFBC"/>
    <w:lvl w:ilvl="0" w:tplc="AE62784A">
      <w:numFmt w:val="bullet"/>
      <w:lvlText w:val="-"/>
      <w:lvlJc w:val="left"/>
      <w:pPr>
        <w:tabs>
          <w:tab w:val="num" w:pos="1068"/>
        </w:tabs>
        <w:ind w:left="1068" w:hanging="360"/>
      </w:pPr>
      <w:rPr>
        <w:rFonts w:ascii="Arial (W1)" w:eastAsia="Times New Roman" w:hAnsi="Arial (W1)" w:cs="Arial (W1)"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76E2B62"/>
    <w:multiLevelType w:val="hybridMultilevel"/>
    <w:tmpl w:val="6E08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814772"/>
    <w:multiLevelType w:val="hybridMultilevel"/>
    <w:tmpl w:val="3D844B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6401C0"/>
    <w:multiLevelType w:val="hybridMultilevel"/>
    <w:tmpl w:val="C85E4218"/>
    <w:lvl w:ilvl="0" w:tplc="0809000B">
      <w:start w:val="1"/>
      <w:numFmt w:val="bullet"/>
      <w:lvlText w:val=""/>
      <w:lvlJc w:val="left"/>
      <w:pPr>
        <w:ind w:left="644" w:hanging="360"/>
      </w:pPr>
      <w:rPr>
        <w:rFonts w:ascii="Wingdings" w:hAnsi="Wingdings" w:hint="default"/>
      </w:rPr>
    </w:lvl>
    <w:lvl w:ilvl="1" w:tplc="0809000B">
      <w:start w:val="1"/>
      <w:numFmt w:val="bullet"/>
      <w:lvlText w:val=""/>
      <w:lvlJc w:val="left"/>
      <w:pPr>
        <w:ind w:left="1364"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47871B5"/>
    <w:multiLevelType w:val="hybridMultilevel"/>
    <w:tmpl w:val="1CFAFDB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50AF8"/>
    <w:multiLevelType w:val="hybridMultilevel"/>
    <w:tmpl w:val="CB82ED00"/>
    <w:lvl w:ilvl="0" w:tplc="50B24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9764B6"/>
    <w:multiLevelType w:val="hybridMultilevel"/>
    <w:tmpl w:val="D9FE88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3206B7"/>
    <w:multiLevelType w:val="hybridMultilevel"/>
    <w:tmpl w:val="D6806BC0"/>
    <w:lvl w:ilvl="0" w:tplc="495CC406">
      <w:numFmt w:val="bullet"/>
      <w:lvlText w:val="-"/>
      <w:lvlJc w:val="left"/>
      <w:pPr>
        <w:ind w:left="644" w:hanging="360"/>
      </w:pPr>
      <w:rPr>
        <w:rFonts w:ascii="BNPP Sans Light" w:eastAsia="BNPP Sans Light" w:hAnsi="BNPP Sans Light"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77E117D"/>
    <w:multiLevelType w:val="hybridMultilevel"/>
    <w:tmpl w:val="3D4016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9404CD"/>
    <w:multiLevelType w:val="hybridMultilevel"/>
    <w:tmpl w:val="BC0C8BE8"/>
    <w:lvl w:ilvl="0" w:tplc="0809000B">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726A2852"/>
    <w:multiLevelType w:val="hybridMultilevel"/>
    <w:tmpl w:val="151C260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C0E70B2"/>
    <w:multiLevelType w:val="hybridMultilevel"/>
    <w:tmpl w:val="B94E9C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3F1872"/>
    <w:multiLevelType w:val="hybridMultilevel"/>
    <w:tmpl w:val="273C9EA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F937BE7"/>
    <w:multiLevelType w:val="hybridMultilevel"/>
    <w:tmpl w:val="4A4A895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3"/>
  </w:num>
  <w:num w:numId="5">
    <w:abstractNumId w:val="25"/>
  </w:num>
  <w:num w:numId="6">
    <w:abstractNumId w:val="10"/>
  </w:num>
  <w:num w:numId="7">
    <w:abstractNumId w:val="16"/>
  </w:num>
  <w:num w:numId="8">
    <w:abstractNumId w:val="23"/>
  </w:num>
  <w:num w:numId="9">
    <w:abstractNumId w:val="14"/>
  </w:num>
  <w:num w:numId="10">
    <w:abstractNumId w:val="20"/>
  </w:num>
  <w:num w:numId="11">
    <w:abstractNumId w:val="4"/>
  </w:num>
  <w:num w:numId="12">
    <w:abstractNumId w:val="12"/>
  </w:num>
  <w:num w:numId="13">
    <w:abstractNumId w:val="21"/>
  </w:num>
  <w:num w:numId="14">
    <w:abstractNumId w:val="15"/>
  </w:num>
  <w:num w:numId="15">
    <w:abstractNumId w:val="11"/>
  </w:num>
  <w:num w:numId="16">
    <w:abstractNumId w:val="18"/>
  </w:num>
  <w:num w:numId="17">
    <w:abstractNumId w:val="7"/>
  </w:num>
  <w:num w:numId="18">
    <w:abstractNumId w:val="5"/>
  </w:num>
  <w:num w:numId="19">
    <w:abstractNumId w:val="17"/>
  </w:num>
  <w:num w:numId="20">
    <w:abstractNumId w:val="1"/>
  </w:num>
  <w:num w:numId="21">
    <w:abstractNumId w:val="6"/>
  </w:num>
  <w:num w:numId="22">
    <w:abstractNumId w:val="0"/>
  </w:num>
  <w:num w:numId="23">
    <w:abstractNumId w:val="24"/>
  </w:num>
  <w:num w:numId="24">
    <w:abstractNumId w:val="22"/>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E4"/>
    <w:rsid w:val="00001E40"/>
    <w:rsid w:val="00004BE8"/>
    <w:rsid w:val="00011E2B"/>
    <w:rsid w:val="00013BD2"/>
    <w:rsid w:val="00014BBD"/>
    <w:rsid w:val="00015250"/>
    <w:rsid w:val="00063DA4"/>
    <w:rsid w:val="000816B6"/>
    <w:rsid w:val="0008381E"/>
    <w:rsid w:val="00084987"/>
    <w:rsid w:val="000948D3"/>
    <w:rsid w:val="000965E2"/>
    <w:rsid w:val="000A1DFE"/>
    <w:rsid w:val="000B2A2B"/>
    <w:rsid w:val="000C65B6"/>
    <w:rsid w:val="000D1653"/>
    <w:rsid w:val="000D2FD1"/>
    <w:rsid w:val="000F2F0B"/>
    <w:rsid w:val="00101CC4"/>
    <w:rsid w:val="00124BA3"/>
    <w:rsid w:val="00162D2F"/>
    <w:rsid w:val="001657AF"/>
    <w:rsid w:val="0017562C"/>
    <w:rsid w:val="001763F6"/>
    <w:rsid w:val="00180B7A"/>
    <w:rsid w:val="00182340"/>
    <w:rsid w:val="00187A81"/>
    <w:rsid w:val="00193BBA"/>
    <w:rsid w:val="00194030"/>
    <w:rsid w:val="001A257C"/>
    <w:rsid w:val="001A4D71"/>
    <w:rsid w:val="001A6B90"/>
    <w:rsid w:val="001C1C62"/>
    <w:rsid w:val="001C711D"/>
    <w:rsid w:val="001D006F"/>
    <w:rsid w:val="001D313B"/>
    <w:rsid w:val="001D577E"/>
    <w:rsid w:val="001E6AC4"/>
    <w:rsid w:val="001E7484"/>
    <w:rsid w:val="001F14BB"/>
    <w:rsid w:val="00205A6F"/>
    <w:rsid w:val="00214B32"/>
    <w:rsid w:val="00223A8C"/>
    <w:rsid w:val="002338C9"/>
    <w:rsid w:val="00234672"/>
    <w:rsid w:val="002520ED"/>
    <w:rsid w:val="00283C6E"/>
    <w:rsid w:val="00293320"/>
    <w:rsid w:val="00295745"/>
    <w:rsid w:val="002970E7"/>
    <w:rsid w:val="002A3FD7"/>
    <w:rsid w:val="002A483C"/>
    <w:rsid w:val="002A7632"/>
    <w:rsid w:val="002B3D98"/>
    <w:rsid w:val="002B5299"/>
    <w:rsid w:val="002B65D9"/>
    <w:rsid w:val="002C2EC3"/>
    <w:rsid w:val="002D4D08"/>
    <w:rsid w:val="002D5EF5"/>
    <w:rsid w:val="002D692D"/>
    <w:rsid w:val="0030162F"/>
    <w:rsid w:val="003315C0"/>
    <w:rsid w:val="003412E8"/>
    <w:rsid w:val="00354AD3"/>
    <w:rsid w:val="003634EE"/>
    <w:rsid w:val="003659F8"/>
    <w:rsid w:val="003738BA"/>
    <w:rsid w:val="003834E2"/>
    <w:rsid w:val="003A1290"/>
    <w:rsid w:val="003A1BA0"/>
    <w:rsid w:val="003A7059"/>
    <w:rsid w:val="003B14EC"/>
    <w:rsid w:val="003C1A42"/>
    <w:rsid w:val="003E47E0"/>
    <w:rsid w:val="003F0594"/>
    <w:rsid w:val="003F6F3A"/>
    <w:rsid w:val="00412CC9"/>
    <w:rsid w:val="004204F6"/>
    <w:rsid w:val="00441C7F"/>
    <w:rsid w:val="00453767"/>
    <w:rsid w:val="00457A8F"/>
    <w:rsid w:val="00490B00"/>
    <w:rsid w:val="0049128C"/>
    <w:rsid w:val="004928CE"/>
    <w:rsid w:val="004A1B10"/>
    <w:rsid w:val="004A1D35"/>
    <w:rsid w:val="004A3585"/>
    <w:rsid w:val="004C1F62"/>
    <w:rsid w:val="004C2B13"/>
    <w:rsid w:val="004F5FBA"/>
    <w:rsid w:val="00506EF4"/>
    <w:rsid w:val="005117A5"/>
    <w:rsid w:val="005200E9"/>
    <w:rsid w:val="005250C2"/>
    <w:rsid w:val="005271BF"/>
    <w:rsid w:val="005272E7"/>
    <w:rsid w:val="005274F8"/>
    <w:rsid w:val="00536414"/>
    <w:rsid w:val="00540606"/>
    <w:rsid w:val="00576F99"/>
    <w:rsid w:val="0058561A"/>
    <w:rsid w:val="00587310"/>
    <w:rsid w:val="0059159D"/>
    <w:rsid w:val="005A252A"/>
    <w:rsid w:val="005A5B38"/>
    <w:rsid w:val="005C5877"/>
    <w:rsid w:val="005D3AF6"/>
    <w:rsid w:val="005D7B2C"/>
    <w:rsid w:val="005F0E49"/>
    <w:rsid w:val="005F4E99"/>
    <w:rsid w:val="00632D72"/>
    <w:rsid w:val="00655400"/>
    <w:rsid w:val="006716E9"/>
    <w:rsid w:val="006729DD"/>
    <w:rsid w:val="006840EA"/>
    <w:rsid w:val="006941BD"/>
    <w:rsid w:val="006A30D5"/>
    <w:rsid w:val="006A6AD6"/>
    <w:rsid w:val="006F418F"/>
    <w:rsid w:val="00725719"/>
    <w:rsid w:val="007338FB"/>
    <w:rsid w:val="00736022"/>
    <w:rsid w:val="00745592"/>
    <w:rsid w:val="00754B72"/>
    <w:rsid w:val="0076286F"/>
    <w:rsid w:val="00767180"/>
    <w:rsid w:val="007862EA"/>
    <w:rsid w:val="007873A8"/>
    <w:rsid w:val="00796D5B"/>
    <w:rsid w:val="007A59FB"/>
    <w:rsid w:val="007B28FA"/>
    <w:rsid w:val="007B2CDE"/>
    <w:rsid w:val="007C4EC0"/>
    <w:rsid w:val="007D555C"/>
    <w:rsid w:val="007E1FA9"/>
    <w:rsid w:val="007F3554"/>
    <w:rsid w:val="00802871"/>
    <w:rsid w:val="0080647F"/>
    <w:rsid w:val="008068E8"/>
    <w:rsid w:val="00830F1B"/>
    <w:rsid w:val="008362EC"/>
    <w:rsid w:val="0084275A"/>
    <w:rsid w:val="00856DE7"/>
    <w:rsid w:val="008650BB"/>
    <w:rsid w:val="00893816"/>
    <w:rsid w:val="008939E9"/>
    <w:rsid w:val="008A0825"/>
    <w:rsid w:val="008A38B7"/>
    <w:rsid w:val="008B06B0"/>
    <w:rsid w:val="008C207B"/>
    <w:rsid w:val="008F7F12"/>
    <w:rsid w:val="0091078F"/>
    <w:rsid w:val="00913286"/>
    <w:rsid w:val="0092505C"/>
    <w:rsid w:val="0092734D"/>
    <w:rsid w:val="00930572"/>
    <w:rsid w:val="00941BC8"/>
    <w:rsid w:val="009462D9"/>
    <w:rsid w:val="009500BE"/>
    <w:rsid w:val="00954E94"/>
    <w:rsid w:val="00956280"/>
    <w:rsid w:val="00961357"/>
    <w:rsid w:val="00962085"/>
    <w:rsid w:val="0097570C"/>
    <w:rsid w:val="0098204A"/>
    <w:rsid w:val="00993245"/>
    <w:rsid w:val="009947BD"/>
    <w:rsid w:val="00995097"/>
    <w:rsid w:val="009B2434"/>
    <w:rsid w:val="009C7595"/>
    <w:rsid w:val="009C7D30"/>
    <w:rsid w:val="009D2550"/>
    <w:rsid w:val="009D3D4D"/>
    <w:rsid w:val="009D6BFA"/>
    <w:rsid w:val="009E0379"/>
    <w:rsid w:val="009F3337"/>
    <w:rsid w:val="00A01A4A"/>
    <w:rsid w:val="00A13CC5"/>
    <w:rsid w:val="00A14AC6"/>
    <w:rsid w:val="00A261BF"/>
    <w:rsid w:val="00A410A1"/>
    <w:rsid w:val="00A418E0"/>
    <w:rsid w:val="00A419E4"/>
    <w:rsid w:val="00A607EF"/>
    <w:rsid w:val="00A73AA3"/>
    <w:rsid w:val="00A822D9"/>
    <w:rsid w:val="00AA04E8"/>
    <w:rsid w:val="00AA110A"/>
    <w:rsid w:val="00AA2544"/>
    <w:rsid w:val="00AA476C"/>
    <w:rsid w:val="00AB2314"/>
    <w:rsid w:val="00AC33E4"/>
    <w:rsid w:val="00AD2495"/>
    <w:rsid w:val="00AD6F7B"/>
    <w:rsid w:val="00AE0329"/>
    <w:rsid w:val="00AE6A93"/>
    <w:rsid w:val="00AF3F6D"/>
    <w:rsid w:val="00B06090"/>
    <w:rsid w:val="00B4311A"/>
    <w:rsid w:val="00B433E2"/>
    <w:rsid w:val="00B52FC0"/>
    <w:rsid w:val="00B54BB0"/>
    <w:rsid w:val="00B66964"/>
    <w:rsid w:val="00B70B53"/>
    <w:rsid w:val="00B817B8"/>
    <w:rsid w:val="00B85C7D"/>
    <w:rsid w:val="00BB0445"/>
    <w:rsid w:val="00BB632A"/>
    <w:rsid w:val="00BC14E5"/>
    <w:rsid w:val="00BD3DD0"/>
    <w:rsid w:val="00BD513E"/>
    <w:rsid w:val="00BE3B48"/>
    <w:rsid w:val="00BE3F17"/>
    <w:rsid w:val="00BE549A"/>
    <w:rsid w:val="00C01F1A"/>
    <w:rsid w:val="00C021D5"/>
    <w:rsid w:val="00C038FF"/>
    <w:rsid w:val="00C052C6"/>
    <w:rsid w:val="00C13348"/>
    <w:rsid w:val="00C16196"/>
    <w:rsid w:val="00C37E6C"/>
    <w:rsid w:val="00C43F2B"/>
    <w:rsid w:val="00C47966"/>
    <w:rsid w:val="00C5289F"/>
    <w:rsid w:val="00C53D44"/>
    <w:rsid w:val="00C606DF"/>
    <w:rsid w:val="00C63047"/>
    <w:rsid w:val="00C645A6"/>
    <w:rsid w:val="00C751CA"/>
    <w:rsid w:val="00C80C2F"/>
    <w:rsid w:val="00C963A1"/>
    <w:rsid w:val="00CA729C"/>
    <w:rsid w:val="00CB21BD"/>
    <w:rsid w:val="00CD1235"/>
    <w:rsid w:val="00CD5074"/>
    <w:rsid w:val="00CE2A95"/>
    <w:rsid w:val="00CE7C7C"/>
    <w:rsid w:val="00D03B94"/>
    <w:rsid w:val="00D06773"/>
    <w:rsid w:val="00D16A4B"/>
    <w:rsid w:val="00D31A9B"/>
    <w:rsid w:val="00D33FB1"/>
    <w:rsid w:val="00D4500E"/>
    <w:rsid w:val="00D465DC"/>
    <w:rsid w:val="00D63B32"/>
    <w:rsid w:val="00D74FE5"/>
    <w:rsid w:val="00D80F52"/>
    <w:rsid w:val="00D8600B"/>
    <w:rsid w:val="00D9147B"/>
    <w:rsid w:val="00D9165E"/>
    <w:rsid w:val="00DB0ACE"/>
    <w:rsid w:val="00DB2851"/>
    <w:rsid w:val="00DC411D"/>
    <w:rsid w:val="00DC581E"/>
    <w:rsid w:val="00E06AC5"/>
    <w:rsid w:val="00E622EB"/>
    <w:rsid w:val="00E64B46"/>
    <w:rsid w:val="00E747EC"/>
    <w:rsid w:val="00E75DFC"/>
    <w:rsid w:val="00E8236F"/>
    <w:rsid w:val="00E85F92"/>
    <w:rsid w:val="00E960C5"/>
    <w:rsid w:val="00E96FE1"/>
    <w:rsid w:val="00EA1579"/>
    <w:rsid w:val="00EA754E"/>
    <w:rsid w:val="00EB6CDD"/>
    <w:rsid w:val="00EC490D"/>
    <w:rsid w:val="00EC7060"/>
    <w:rsid w:val="00ED1C69"/>
    <w:rsid w:val="00ED4713"/>
    <w:rsid w:val="00ED4A79"/>
    <w:rsid w:val="00EE5F57"/>
    <w:rsid w:val="00EE6F67"/>
    <w:rsid w:val="00EF301E"/>
    <w:rsid w:val="00F00288"/>
    <w:rsid w:val="00F03375"/>
    <w:rsid w:val="00F305B6"/>
    <w:rsid w:val="00F42447"/>
    <w:rsid w:val="00F45EB5"/>
    <w:rsid w:val="00F65152"/>
    <w:rsid w:val="00F6655D"/>
    <w:rsid w:val="00F731F2"/>
    <w:rsid w:val="00F84D39"/>
    <w:rsid w:val="00F96407"/>
    <w:rsid w:val="00FB5F0B"/>
    <w:rsid w:val="00FC2A74"/>
    <w:rsid w:val="00FC4551"/>
    <w:rsid w:val="00FD38D6"/>
    <w:rsid w:val="00FD5C3D"/>
    <w:rsid w:val="00FE22FF"/>
    <w:rsid w:val="00FE4FCE"/>
    <w:rsid w:val="00FE7D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5:docId w15:val="{0C6323F7-5565-4306-AF10-7B782AE8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59FB"/>
    <w:pPr>
      <w:spacing w:before="48"/>
      <w:ind w:left="284" w:right="220"/>
    </w:pPr>
    <w:rPr>
      <w:rFonts w:eastAsia="BNPP Sans Light"/>
      <w:sz w:val="20"/>
      <w:szCs w:val="20"/>
      <w:lang w:val="en-GB"/>
    </w:rPr>
  </w:style>
  <w:style w:type="paragraph" w:styleId="Heading1">
    <w:name w:val="heading 1"/>
    <w:basedOn w:val="Normal"/>
    <w:link w:val="Heading1Char"/>
    <w:uiPriority w:val="1"/>
    <w:qFormat/>
    <w:rsid w:val="00F00288"/>
    <w:pPr>
      <w:outlineLvl w:val="0"/>
    </w:pPr>
    <w:rPr>
      <w:rFonts w:ascii="BNPP Sans Condensed" w:hAnsi="BNPP Sans Condensed"/>
      <w:caps/>
      <w:color w:val="00915A" w:themeColor="accent1"/>
      <w:sz w:val="44"/>
      <w:szCs w:val="32"/>
    </w:rPr>
  </w:style>
  <w:style w:type="paragraph" w:styleId="Heading2">
    <w:name w:val="heading 2"/>
    <w:aliases w:val="Sub Heading"/>
    <w:basedOn w:val="Normal"/>
    <w:uiPriority w:val="1"/>
    <w:qFormat/>
    <w:rsid w:val="00F00288"/>
    <w:pPr>
      <w:tabs>
        <w:tab w:val="left" w:pos="1134"/>
      </w:tabs>
      <w:outlineLvl w:val="1"/>
    </w:pPr>
    <w:rPr>
      <w:rFonts w:ascii="BNPP Sans" w:eastAsia="BNPP Sans" w:hAnsi="BNPP Sans"/>
      <w:b/>
      <w:bCs/>
      <w:caps/>
      <w:sz w:val="28"/>
      <w:szCs w:val="28"/>
    </w:rPr>
  </w:style>
  <w:style w:type="paragraph" w:styleId="Heading3">
    <w:name w:val="heading 3"/>
    <w:aliases w:val="Sub Sub Heading"/>
    <w:basedOn w:val="Normal"/>
    <w:next w:val="Normal"/>
    <w:link w:val="Heading3Char"/>
    <w:uiPriority w:val="9"/>
    <w:unhideWhenUsed/>
    <w:qFormat/>
    <w:rsid w:val="00F00288"/>
    <w:p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A14AC6"/>
  </w:style>
  <w:style w:type="paragraph" w:styleId="BalloonText">
    <w:name w:val="Balloon Text"/>
    <w:basedOn w:val="Normal"/>
    <w:link w:val="BalloonTextChar"/>
    <w:uiPriority w:val="99"/>
    <w:semiHidden/>
    <w:unhideWhenUsed/>
    <w:rsid w:val="00BC14E5"/>
    <w:pPr>
      <w:spacing w:before="0"/>
    </w:pPr>
    <w:rPr>
      <w:rFonts w:ascii="Tahoma" w:hAnsi="Tahoma" w:cs="Tahoma"/>
      <w:sz w:val="16"/>
      <w:szCs w:val="16"/>
    </w:rPr>
  </w:style>
  <w:style w:type="paragraph" w:customStyle="1" w:styleId="BulletsTitle">
    <w:name w:val="Bullets Title"/>
    <w:basedOn w:val="Normal"/>
    <w:uiPriority w:val="1"/>
    <w:qFormat/>
    <w:rsid w:val="003A1BA0"/>
    <w:rPr>
      <w:rFonts w:asciiTheme="majorHAnsi" w:hAnsiTheme="majorHAnsi"/>
      <w:noProof/>
      <w:color w:val="00915A" w:themeColor="accent1"/>
      <w:sz w:val="22"/>
      <w:u w:val="single"/>
      <w:lang w:val="fr-FR" w:eastAsia="fr-FR"/>
    </w:rPr>
  </w:style>
  <w:style w:type="paragraph" w:styleId="Header">
    <w:name w:val="header"/>
    <w:basedOn w:val="Normal"/>
    <w:link w:val="HeaderChar"/>
    <w:uiPriority w:val="99"/>
    <w:unhideWhenUsed/>
    <w:rsid w:val="002D5EF5"/>
    <w:pPr>
      <w:tabs>
        <w:tab w:val="center" w:pos="4536"/>
        <w:tab w:val="right" w:pos="9072"/>
      </w:tabs>
    </w:pPr>
  </w:style>
  <w:style w:type="character" w:customStyle="1" w:styleId="HeaderChar">
    <w:name w:val="Header Char"/>
    <w:basedOn w:val="DefaultParagraphFont"/>
    <w:link w:val="Header"/>
    <w:uiPriority w:val="99"/>
    <w:rsid w:val="002D5EF5"/>
  </w:style>
  <w:style w:type="paragraph" w:styleId="Footer">
    <w:name w:val="footer"/>
    <w:basedOn w:val="Normal"/>
    <w:link w:val="FooterChar"/>
    <w:uiPriority w:val="99"/>
    <w:unhideWhenUsed/>
    <w:rsid w:val="005C5877"/>
    <w:pPr>
      <w:tabs>
        <w:tab w:val="left" w:pos="284"/>
        <w:tab w:val="left" w:pos="4253"/>
        <w:tab w:val="right" w:pos="10773"/>
        <w:tab w:val="right" w:pos="11057"/>
      </w:tabs>
    </w:pPr>
    <w:rPr>
      <w:sz w:val="16"/>
      <w:szCs w:val="16"/>
    </w:rPr>
  </w:style>
  <w:style w:type="character" w:customStyle="1" w:styleId="FooterChar">
    <w:name w:val="Footer Char"/>
    <w:basedOn w:val="DefaultParagraphFont"/>
    <w:link w:val="Footer"/>
    <w:uiPriority w:val="99"/>
    <w:rsid w:val="005C5877"/>
    <w:rPr>
      <w:rFonts w:eastAsia="BNPP Sans Light"/>
      <w:sz w:val="16"/>
      <w:szCs w:val="16"/>
      <w:lang w:val="en-GB"/>
    </w:rPr>
  </w:style>
  <w:style w:type="paragraph" w:styleId="Title">
    <w:name w:val="Title"/>
    <w:basedOn w:val="Normal"/>
    <w:next w:val="Normal"/>
    <w:link w:val="TitleChar"/>
    <w:uiPriority w:val="10"/>
    <w:qFormat/>
    <w:rsid w:val="00004BE8"/>
    <w:pPr>
      <w:pageBreakBefore/>
      <w:spacing w:before="17" w:line="663" w:lineRule="exact"/>
      <w:ind w:left="0" w:right="57"/>
    </w:pPr>
    <w:rPr>
      <w:rFonts w:ascii="BNPP Sans Condensed" w:hAnsi="BNPP Sans Condensed"/>
      <w:caps/>
      <w:color w:val="00915A"/>
      <w:spacing w:val="-3"/>
      <w:sz w:val="64"/>
    </w:rPr>
  </w:style>
  <w:style w:type="character" w:customStyle="1" w:styleId="TitleChar">
    <w:name w:val="Title Char"/>
    <w:basedOn w:val="DefaultParagraphFont"/>
    <w:link w:val="Title"/>
    <w:uiPriority w:val="10"/>
    <w:rsid w:val="00004BE8"/>
    <w:rPr>
      <w:rFonts w:ascii="BNPP Sans Condensed" w:eastAsia="BNPP Sans Light" w:hAnsi="BNPP Sans Condensed"/>
      <w:caps/>
      <w:color w:val="00915A"/>
      <w:spacing w:val="-3"/>
      <w:sz w:val="64"/>
      <w:szCs w:val="20"/>
      <w:lang w:val="en-GB"/>
    </w:rPr>
  </w:style>
  <w:style w:type="paragraph" w:customStyle="1" w:styleId="Bullets1">
    <w:name w:val="Bullets 1"/>
    <w:basedOn w:val="Normal"/>
    <w:uiPriority w:val="1"/>
    <w:qFormat/>
    <w:rsid w:val="00B4311A"/>
    <w:pPr>
      <w:numPr>
        <w:numId w:val="1"/>
      </w:numPr>
      <w:ind w:left="567" w:hanging="283"/>
    </w:pPr>
  </w:style>
  <w:style w:type="paragraph" w:customStyle="1" w:styleId="Bullets2">
    <w:name w:val="Bullets 2"/>
    <w:basedOn w:val="Normal"/>
    <w:uiPriority w:val="1"/>
    <w:qFormat/>
    <w:rsid w:val="00B4311A"/>
    <w:pPr>
      <w:numPr>
        <w:numId w:val="3"/>
      </w:numPr>
      <w:ind w:left="851"/>
    </w:pPr>
    <w:rPr>
      <w:sz w:val="18"/>
      <w:szCs w:val="18"/>
    </w:rPr>
  </w:style>
  <w:style w:type="character" w:customStyle="1" w:styleId="Heading3Char">
    <w:name w:val="Heading 3 Char"/>
    <w:aliases w:val="Sub Sub Heading Char"/>
    <w:basedOn w:val="DefaultParagraphFont"/>
    <w:link w:val="Heading3"/>
    <w:uiPriority w:val="9"/>
    <w:rsid w:val="00F00288"/>
    <w:rPr>
      <w:rFonts w:asciiTheme="majorHAnsi" w:eastAsia="BNPP Sans Light" w:hAnsiTheme="majorHAnsi"/>
      <w:sz w:val="24"/>
      <w:szCs w:val="24"/>
      <w:lang w:val="en-GB"/>
    </w:rPr>
  </w:style>
  <w:style w:type="character" w:customStyle="1" w:styleId="BalloonTextChar">
    <w:name w:val="Balloon Text Char"/>
    <w:basedOn w:val="DefaultParagraphFont"/>
    <w:link w:val="BalloonText"/>
    <w:uiPriority w:val="99"/>
    <w:semiHidden/>
    <w:rsid w:val="00BC14E5"/>
    <w:rPr>
      <w:rFonts w:ascii="Tahoma" w:eastAsia="BNPP Sans Light" w:hAnsi="Tahoma" w:cs="Tahoma"/>
      <w:sz w:val="16"/>
      <w:szCs w:val="16"/>
      <w:lang w:val="en-GB"/>
    </w:rPr>
  </w:style>
  <w:style w:type="table" w:styleId="TableGrid">
    <w:name w:val="Table Grid"/>
    <w:basedOn w:val="TableNormal"/>
    <w:uiPriority w:val="59"/>
    <w:rsid w:val="00A14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uiPriority w:val="1"/>
    <w:rsid w:val="0008381E"/>
    <w:pPr>
      <w:pBdr>
        <w:top w:val="single" w:sz="4" w:space="10" w:color="939598" w:themeColor="text2"/>
      </w:pBdr>
      <w:ind w:right="243" w:hanging="1"/>
      <w:jc w:val="both"/>
    </w:pPr>
    <w:rPr>
      <w:sz w:val="18"/>
    </w:rPr>
  </w:style>
  <w:style w:type="paragraph" w:customStyle="1" w:styleId="TitleDoc">
    <w:name w:val="Title Doc"/>
    <w:basedOn w:val="Normal"/>
    <w:uiPriority w:val="1"/>
    <w:qFormat/>
    <w:rsid w:val="000965E2"/>
    <w:pPr>
      <w:tabs>
        <w:tab w:val="left" w:pos="11907"/>
      </w:tabs>
      <w:spacing w:before="300" w:line="756" w:lineRule="exact"/>
      <w:ind w:left="426" w:right="-45"/>
    </w:pPr>
    <w:rPr>
      <w:rFonts w:ascii="BNPP Sans Condensed" w:hAnsi="BNPP Sans Condensed"/>
      <w:caps/>
      <w:sz w:val="74"/>
    </w:rPr>
  </w:style>
  <w:style w:type="paragraph" w:customStyle="1" w:styleId="SubtitleDoc">
    <w:name w:val="Subtitle Doc"/>
    <w:basedOn w:val="Normal"/>
    <w:uiPriority w:val="1"/>
    <w:qFormat/>
    <w:rsid w:val="000965E2"/>
    <w:pPr>
      <w:spacing w:before="99"/>
      <w:ind w:left="426" w:right="-46"/>
    </w:pPr>
    <w:rPr>
      <w:rFonts w:ascii="BNPP Sans Condensed" w:hAnsi="BNPP Sans Condensed"/>
      <w:caps/>
      <w:sz w:val="52"/>
    </w:rPr>
  </w:style>
  <w:style w:type="paragraph" w:customStyle="1" w:styleId="Confidential">
    <w:name w:val="Confidential"/>
    <w:basedOn w:val="Normal"/>
    <w:uiPriority w:val="1"/>
    <w:qFormat/>
    <w:rsid w:val="000965E2"/>
    <w:pPr>
      <w:spacing w:before="97"/>
      <w:ind w:left="426" w:right="-46"/>
    </w:pPr>
    <w:rPr>
      <w:rFonts w:ascii="BNPP Sans Condensed"/>
      <w:color w:val="00915A"/>
      <w:sz w:val="38"/>
    </w:rPr>
  </w:style>
  <w:style w:type="paragraph" w:customStyle="1" w:styleId="TABHeadingGreen">
    <w:name w:val="TAB Heading Green"/>
    <w:basedOn w:val="BodyText"/>
    <w:uiPriority w:val="1"/>
    <w:qFormat/>
    <w:rsid w:val="00EE6F67"/>
    <w:pPr>
      <w:ind w:left="181"/>
    </w:pPr>
    <w:rPr>
      <w:rFonts w:asciiTheme="majorHAnsi" w:hAnsiTheme="majorHAnsi"/>
      <w:color w:val="00915A"/>
    </w:rPr>
  </w:style>
  <w:style w:type="paragraph" w:customStyle="1" w:styleId="TABHighlightedText">
    <w:name w:val="TAB Highlighted Text"/>
    <w:basedOn w:val="TABHeadingGreen"/>
    <w:uiPriority w:val="1"/>
    <w:qFormat/>
    <w:rsid w:val="00EE6F67"/>
    <w:rPr>
      <w:caps/>
      <w:color w:val="000000" w:themeColor="text1"/>
    </w:rPr>
  </w:style>
  <w:style w:type="paragraph" w:customStyle="1" w:styleId="TABText">
    <w:name w:val="TAB Text"/>
    <w:basedOn w:val="BodyText"/>
    <w:uiPriority w:val="1"/>
    <w:qFormat/>
    <w:rsid w:val="00EE6F67"/>
    <w:pPr>
      <w:ind w:left="181"/>
    </w:pPr>
  </w:style>
  <w:style w:type="paragraph" w:customStyle="1" w:styleId="PageSubtitle">
    <w:name w:val="Page Subtitle"/>
    <w:basedOn w:val="Normal"/>
    <w:uiPriority w:val="1"/>
    <w:qFormat/>
    <w:rsid w:val="003A1BA0"/>
    <w:rPr>
      <w:rFonts w:asciiTheme="majorHAnsi" w:hAnsiTheme="majorHAnsi"/>
      <w:color w:val="00915A" w:themeColor="accent1"/>
      <w:sz w:val="32"/>
      <w:szCs w:val="32"/>
    </w:rPr>
  </w:style>
  <w:style w:type="paragraph" w:customStyle="1" w:styleId="TABItalicText">
    <w:name w:val="TAB Italic Text"/>
    <w:basedOn w:val="TABText"/>
    <w:uiPriority w:val="1"/>
    <w:qFormat/>
    <w:rsid w:val="009947BD"/>
    <w:rPr>
      <w:i/>
    </w:rPr>
  </w:style>
  <w:style w:type="paragraph" w:customStyle="1" w:styleId="TAB2Heading">
    <w:name w:val="TAB 2 Heading"/>
    <w:basedOn w:val="Normal"/>
    <w:uiPriority w:val="1"/>
    <w:qFormat/>
    <w:rsid w:val="00C5289F"/>
    <w:pPr>
      <w:ind w:left="0"/>
    </w:pPr>
    <w:rPr>
      <w:b/>
      <w:bCs/>
      <w:noProof/>
      <w:color w:val="FFFFFF" w:themeColor="background1"/>
      <w:sz w:val="16"/>
      <w:szCs w:val="16"/>
      <w:lang w:val="fr-FR" w:eastAsia="fr-FR"/>
    </w:rPr>
  </w:style>
  <w:style w:type="paragraph" w:customStyle="1" w:styleId="TAB2Text">
    <w:name w:val="TAB 2 Text"/>
    <w:basedOn w:val="Normal"/>
    <w:uiPriority w:val="1"/>
    <w:qFormat/>
    <w:rsid w:val="00C5289F"/>
    <w:pPr>
      <w:ind w:left="0"/>
    </w:pPr>
    <w:rPr>
      <w:noProof/>
      <w:sz w:val="16"/>
      <w:szCs w:val="16"/>
      <w:lang w:val="fr-FR" w:eastAsia="fr-FR"/>
    </w:rPr>
  </w:style>
  <w:style w:type="table" w:styleId="LightList-Accent1">
    <w:name w:val="Light List Accent 1"/>
    <w:basedOn w:val="TableNormal"/>
    <w:uiPriority w:val="61"/>
    <w:rsid w:val="008A0825"/>
    <w:tblPr>
      <w:tblStyleRowBandSize w:val="1"/>
      <w:tblStyleColBandSize w:val="1"/>
      <w:tblBorders>
        <w:top w:val="single" w:sz="8" w:space="0" w:color="00915A" w:themeColor="accent1"/>
        <w:left w:val="single" w:sz="8" w:space="0" w:color="00915A" w:themeColor="accent1"/>
        <w:bottom w:val="single" w:sz="8" w:space="0" w:color="00915A" w:themeColor="accent1"/>
        <w:right w:val="single" w:sz="8" w:space="0" w:color="00915A" w:themeColor="accent1"/>
      </w:tblBorders>
    </w:tblPr>
    <w:tblStylePr w:type="firstRow">
      <w:pPr>
        <w:spacing w:before="0" w:after="0" w:line="240" w:lineRule="auto"/>
      </w:pPr>
      <w:rPr>
        <w:b/>
        <w:bCs/>
        <w:color w:val="FFFFFF" w:themeColor="background1"/>
      </w:rPr>
      <w:tblPr/>
      <w:tcPr>
        <w:shd w:val="clear" w:color="auto" w:fill="00915A" w:themeFill="accent1"/>
      </w:tcPr>
    </w:tblStylePr>
    <w:tblStylePr w:type="lastRow">
      <w:pPr>
        <w:spacing w:before="0" w:after="0" w:line="240" w:lineRule="auto"/>
      </w:pPr>
      <w:rPr>
        <w:b/>
        <w:bCs/>
      </w:rPr>
      <w:tblPr/>
      <w:tcPr>
        <w:tcBorders>
          <w:top w:val="double" w:sz="6" w:space="0" w:color="00915A" w:themeColor="accent1"/>
          <w:left w:val="single" w:sz="8" w:space="0" w:color="00915A" w:themeColor="accent1"/>
          <w:bottom w:val="single" w:sz="8" w:space="0" w:color="00915A" w:themeColor="accent1"/>
          <w:right w:val="single" w:sz="8" w:space="0" w:color="00915A" w:themeColor="accent1"/>
        </w:tcBorders>
      </w:tcPr>
    </w:tblStylePr>
    <w:tblStylePr w:type="firstCol">
      <w:rPr>
        <w:b/>
        <w:bCs/>
      </w:rPr>
    </w:tblStylePr>
    <w:tblStylePr w:type="lastCol">
      <w:rPr>
        <w:b/>
        <w:bCs/>
      </w:rPr>
    </w:tblStylePr>
    <w:tblStylePr w:type="band1Vert">
      <w:tblPr/>
      <w:tcPr>
        <w:tcBorders>
          <w:top w:val="single" w:sz="8" w:space="0" w:color="00915A" w:themeColor="accent1"/>
          <w:left w:val="single" w:sz="8" w:space="0" w:color="00915A" w:themeColor="accent1"/>
          <w:bottom w:val="single" w:sz="8" w:space="0" w:color="00915A" w:themeColor="accent1"/>
          <w:right w:val="single" w:sz="8" w:space="0" w:color="00915A" w:themeColor="accent1"/>
        </w:tcBorders>
      </w:tcPr>
    </w:tblStylePr>
    <w:tblStylePr w:type="band1Horz">
      <w:tblPr/>
      <w:tcPr>
        <w:tcBorders>
          <w:top w:val="single" w:sz="8" w:space="0" w:color="00915A" w:themeColor="accent1"/>
          <w:left w:val="single" w:sz="8" w:space="0" w:color="00915A" w:themeColor="accent1"/>
          <w:bottom w:val="single" w:sz="8" w:space="0" w:color="00915A" w:themeColor="accent1"/>
          <w:right w:val="single" w:sz="8" w:space="0" w:color="00915A" w:themeColor="accent1"/>
        </w:tcBorders>
      </w:tcPr>
    </w:tblStylePr>
  </w:style>
  <w:style w:type="paragraph" w:customStyle="1" w:styleId="TABGraphicHeading">
    <w:name w:val="TAB Graphic Heading"/>
    <w:basedOn w:val="Normal"/>
    <w:uiPriority w:val="1"/>
    <w:qFormat/>
    <w:rsid w:val="00D465DC"/>
    <w:pPr>
      <w:ind w:left="57"/>
    </w:pPr>
    <w:rPr>
      <w:rFonts w:asciiTheme="majorHAnsi" w:hAnsiTheme="majorHAnsi"/>
      <w:color w:val="00915A" w:themeColor="accent1"/>
    </w:rPr>
  </w:style>
  <w:style w:type="paragraph" w:customStyle="1" w:styleId="ContactTitre">
    <w:name w:val="Contact Titre"/>
    <w:basedOn w:val="Normal"/>
    <w:uiPriority w:val="1"/>
    <w:qFormat/>
    <w:rsid w:val="00EE5F57"/>
    <w:rPr>
      <w:rFonts w:ascii="BNPP Sans Condensed" w:hAnsi="BNPP Sans Condensed"/>
      <w:color w:val="FFFFFF" w:themeColor="background1"/>
      <w:spacing w:val="-3"/>
      <w:sz w:val="32"/>
      <w:szCs w:val="32"/>
    </w:rPr>
  </w:style>
  <w:style w:type="paragraph" w:customStyle="1" w:styleId="ContactBusiness">
    <w:name w:val="Contact Business"/>
    <w:basedOn w:val="Normal"/>
    <w:uiPriority w:val="1"/>
    <w:qFormat/>
    <w:rsid w:val="00EE5F57"/>
    <w:pPr>
      <w:spacing w:before="120"/>
      <w:ind w:right="221"/>
    </w:pPr>
    <w:rPr>
      <w:color w:val="FFFFFF" w:themeColor="background1"/>
      <w:sz w:val="18"/>
      <w:szCs w:val="18"/>
    </w:rPr>
  </w:style>
  <w:style w:type="paragraph" w:customStyle="1" w:styleId="ContactAdresse">
    <w:name w:val="Contact Adresse"/>
    <w:basedOn w:val="Normal"/>
    <w:uiPriority w:val="1"/>
    <w:qFormat/>
    <w:rsid w:val="00856DE7"/>
    <w:pPr>
      <w:spacing w:before="0"/>
    </w:pPr>
    <w:rPr>
      <w:color w:val="FFFFFF" w:themeColor="background1"/>
      <w:sz w:val="18"/>
      <w:szCs w:val="18"/>
    </w:rPr>
  </w:style>
  <w:style w:type="paragraph" w:customStyle="1" w:styleId="TAB3Heading">
    <w:name w:val="TAB 3 Heading"/>
    <w:basedOn w:val="TAB2Heading"/>
    <w:uiPriority w:val="1"/>
    <w:qFormat/>
    <w:rsid w:val="001C711D"/>
    <w:rPr>
      <w:rFonts w:asciiTheme="majorHAnsi" w:hAnsiTheme="majorHAnsi"/>
      <w:b w:val="0"/>
      <w:sz w:val="22"/>
      <w:szCs w:val="22"/>
    </w:rPr>
  </w:style>
  <w:style w:type="paragraph" w:customStyle="1" w:styleId="TAB3Text">
    <w:name w:val="TAB 3 Text"/>
    <w:basedOn w:val="Normal"/>
    <w:uiPriority w:val="1"/>
    <w:qFormat/>
    <w:rsid w:val="001C711D"/>
    <w:pPr>
      <w:ind w:left="0"/>
    </w:pPr>
    <w:rPr>
      <w:rFonts w:asciiTheme="majorHAnsi" w:hAnsiTheme="majorHAnsi"/>
    </w:rPr>
  </w:style>
  <w:style w:type="paragraph" w:styleId="NormalWeb">
    <w:name w:val="Normal (Web)"/>
    <w:basedOn w:val="Normal"/>
    <w:uiPriority w:val="99"/>
    <w:semiHidden/>
    <w:unhideWhenUsed/>
    <w:rsid w:val="0092734D"/>
    <w:pPr>
      <w:widowControl/>
      <w:spacing w:before="100" w:beforeAutospacing="1" w:after="100" w:afterAutospacing="1"/>
      <w:ind w:left="0" w:right="0"/>
    </w:pPr>
    <w:rPr>
      <w:rFonts w:ascii="Times" w:eastAsiaTheme="minorHAnsi" w:hAnsi="Times" w:cs="Times New Roman"/>
      <w:lang w:val="fr-FR" w:eastAsia="fr-FR"/>
    </w:rPr>
  </w:style>
  <w:style w:type="paragraph" w:styleId="ListParagraph">
    <w:name w:val="List Paragraph"/>
    <w:basedOn w:val="Normal"/>
    <w:link w:val="ListParagraphChar"/>
    <w:uiPriority w:val="34"/>
    <w:qFormat/>
    <w:rsid w:val="00EA754E"/>
    <w:pPr>
      <w:widowControl/>
      <w:spacing w:before="0" w:after="200" w:line="276" w:lineRule="auto"/>
      <w:ind w:left="720" w:right="0"/>
      <w:contextualSpacing/>
    </w:pPr>
    <w:rPr>
      <w:rFonts w:eastAsiaTheme="minorEastAsia"/>
      <w:sz w:val="22"/>
      <w:szCs w:val="22"/>
      <w:lang w:eastAsia="ja-JP"/>
    </w:rPr>
  </w:style>
  <w:style w:type="character" w:styleId="Hyperlink">
    <w:name w:val="Hyperlink"/>
    <w:basedOn w:val="DefaultParagraphFont"/>
    <w:uiPriority w:val="99"/>
    <w:unhideWhenUsed/>
    <w:rsid w:val="00293320"/>
    <w:rPr>
      <w:color w:val="00915A" w:themeColor="hyperlink"/>
      <w:u w:val="single"/>
    </w:rPr>
  </w:style>
  <w:style w:type="paragraph" w:styleId="TOCHeading">
    <w:name w:val="TOC Heading"/>
    <w:basedOn w:val="Heading1"/>
    <w:next w:val="Normal"/>
    <w:uiPriority w:val="39"/>
    <w:semiHidden/>
    <w:unhideWhenUsed/>
    <w:qFormat/>
    <w:rsid w:val="00C01F1A"/>
    <w:pPr>
      <w:keepNext/>
      <w:keepLines/>
      <w:widowControl/>
      <w:autoSpaceDE w:val="0"/>
      <w:autoSpaceDN w:val="0"/>
      <w:adjustRightInd w:val="0"/>
      <w:spacing w:before="480"/>
      <w:ind w:left="0" w:right="0"/>
      <w:outlineLvl w:val="9"/>
    </w:pPr>
    <w:rPr>
      <w:rFonts w:ascii="Arial" w:eastAsiaTheme="majorEastAsia" w:hAnsi="Arial" w:cstheme="majorBidi"/>
      <w:b/>
      <w:bCs/>
      <w:caps w:val="0"/>
      <w:color w:val="00985F"/>
      <w:sz w:val="32"/>
      <w:szCs w:val="28"/>
      <w:lang w:val="en-US" w:eastAsia="ja-JP"/>
    </w:rPr>
  </w:style>
  <w:style w:type="paragraph" w:styleId="TOC1">
    <w:name w:val="toc 1"/>
    <w:basedOn w:val="Normal"/>
    <w:next w:val="Normal"/>
    <w:autoRedefine/>
    <w:uiPriority w:val="39"/>
    <w:unhideWhenUsed/>
    <w:rsid w:val="000816B6"/>
    <w:pPr>
      <w:widowControl/>
      <w:tabs>
        <w:tab w:val="right" w:leader="dot" w:pos="9990"/>
      </w:tabs>
      <w:spacing w:before="0" w:after="100" w:line="276" w:lineRule="auto"/>
      <w:ind w:left="180" w:right="0"/>
    </w:pPr>
    <w:rPr>
      <w:rFonts w:eastAsiaTheme="minorEastAsia"/>
      <w:sz w:val="22"/>
      <w:szCs w:val="22"/>
      <w:lang w:eastAsia="ja-JP"/>
    </w:rPr>
  </w:style>
  <w:style w:type="character" w:styleId="FollowedHyperlink">
    <w:name w:val="FollowedHyperlink"/>
    <w:basedOn w:val="DefaultParagraphFont"/>
    <w:uiPriority w:val="99"/>
    <w:semiHidden/>
    <w:unhideWhenUsed/>
    <w:rsid w:val="00632D72"/>
    <w:rPr>
      <w:color w:val="00915A" w:themeColor="followedHyperlink"/>
      <w:u w:val="single"/>
    </w:rPr>
  </w:style>
  <w:style w:type="character" w:styleId="CommentReference">
    <w:name w:val="annotation reference"/>
    <w:basedOn w:val="DefaultParagraphFont"/>
    <w:uiPriority w:val="99"/>
    <w:semiHidden/>
    <w:unhideWhenUsed/>
    <w:rsid w:val="0030162F"/>
    <w:rPr>
      <w:sz w:val="16"/>
      <w:szCs w:val="16"/>
    </w:rPr>
  </w:style>
  <w:style w:type="paragraph" w:styleId="CommentText">
    <w:name w:val="annotation text"/>
    <w:basedOn w:val="Normal"/>
    <w:link w:val="CommentTextChar"/>
    <w:uiPriority w:val="99"/>
    <w:semiHidden/>
    <w:unhideWhenUsed/>
    <w:rsid w:val="0030162F"/>
  </w:style>
  <w:style w:type="character" w:customStyle="1" w:styleId="CommentTextChar">
    <w:name w:val="Comment Text Char"/>
    <w:basedOn w:val="DefaultParagraphFont"/>
    <w:link w:val="CommentText"/>
    <w:uiPriority w:val="99"/>
    <w:semiHidden/>
    <w:rsid w:val="0030162F"/>
    <w:rPr>
      <w:rFonts w:eastAsia="BNPP Sans Light"/>
      <w:sz w:val="20"/>
      <w:szCs w:val="20"/>
      <w:lang w:val="en-GB"/>
    </w:rPr>
  </w:style>
  <w:style w:type="paragraph" w:styleId="CommentSubject">
    <w:name w:val="annotation subject"/>
    <w:basedOn w:val="CommentText"/>
    <w:next w:val="CommentText"/>
    <w:link w:val="CommentSubjectChar"/>
    <w:uiPriority w:val="99"/>
    <w:semiHidden/>
    <w:unhideWhenUsed/>
    <w:rsid w:val="0030162F"/>
    <w:rPr>
      <w:b/>
      <w:bCs/>
    </w:rPr>
  </w:style>
  <w:style w:type="character" w:customStyle="1" w:styleId="CommentSubjectChar">
    <w:name w:val="Comment Subject Char"/>
    <w:basedOn w:val="CommentTextChar"/>
    <w:link w:val="CommentSubject"/>
    <w:uiPriority w:val="99"/>
    <w:semiHidden/>
    <w:rsid w:val="0030162F"/>
    <w:rPr>
      <w:rFonts w:eastAsia="BNPP Sans Light"/>
      <w:b/>
      <w:bCs/>
      <w:sz w:val="20"/>
      <w:szCs w:val="20"/>
      <w:lang w:val="en-GB"/>
    </w:rPr>
  </w:style>
  <w:style w:type="character" w:customStyle="1" w:styleId="ListParagraphChar">
    <w:name w:val="List Paragraph Char"/>
    <w:basedOn w:val="DefaultParagraphFont"/>
    <w:link w:val="ListParagraph"/>
    <w:uiPriority w:val="34"/>
    <w:locked/>
    <w:rsid w:val="00C038FF"/>
    <w:rPr>
      <w:rFonts w:eastAsiaTheme="minorEastAsia"/>
      <w:lang w:val="en-GB" w:eastAsia="ja-JP"/>
    </w:rPr>
  </w:style>
  <w:style w:type="paragraph" w:styleId="Revision">
    <w:name w:val="Revision"/>
    <w:hidden/>
    <w:uiPriority w:val="99"/>
    <w:semiHidden/>
    <w:rsid w:val="0017562C"/>
    <w:pPr>
      <w:widowControl/>
    </w:pPr>
    <w:rPr>
      <w:rFonts w:eastAsia="BNPP Sans Light"/>
      <w:sz w:val="20"/>
      <w:szCs w:val="20"/>
      <w:lang w:val="en-GB"/>
    </w:rPr>
  </w:style>
  <w:style w:type="paragraph" w:customStyle="1" w:styleId="Default">
    <w:name w:val="Default"/>
    <w:rsid w:val="004C2B13"/>
    <w:pPr>
      <w:widowControl/>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3E47E0"/>
    <w:rPr>
      <w:rFonts w:ascii="BNPP Sans Condensed" w:eastAsia="BNPP Sans Light" w:hAnsi="BNPP Sans Condensed"/>
      <w:caps/>
      <w:color w:val="00915A" w:themeColor="accent1"/>
      <w:sz w:val="4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098">
      <w:bodyDiv w:val="1"/>
      <w:marLeft w:val="0"/>
      <w:marRight w:val="0"/>
      <w:marTop w:val="0"/>
      <w:marBottom w:val="0"/>
      <w:divBdr>
        <w:top w:val="none" w:sz="0" w:space="0" w:color="auto"/>
        <w:left w:val="none" w:sz="0" w:space="0" w:color="auto"/>
        <w:bottom w:val="none" w:sz="0" w:space="0" w:color="auto"/>
        <w:right w:val="none" w:sz="0" w:space="0" w:color="auto"/>
      </w:divBdr>
    </w:div>
    <w:div w:id="35980288">
      <w:bodyDiv w:val="1"/>
      <w:marLeft w:val="0"/>
      <w:marRight w:val="0"/>
      <w:marTop w:val="0"/>
      <w:marBottom w:val="0"/>
      <w:divBdr>
        <w:top w:val="none" w:sz="0" w:space="0" w:color="auto"/>
        <w:left w:val="none" w:sz="0" w:space="0" w:color="auto"/>
        <w:bottom w:val="none" w:sz="0" w:space="0" w:color="auto"/>
        <w:right w:val="none" w:sz="0" w:space="0" w:color="auto"/>
      </w:divBdr>
    </w:div>
    <w:div w:id="88351227">
      <w:bodyDiv w:val="1"/>
      <w:marLeft w:val="0"/>
      <w:marRight w:val="0"/>
      <w:marTop w:val="0"/>
      <w:marBottom w:val="0"/>
      <w:divBdr>
        <w:top w:val="none" w:sz="0" w:space="0" w:color="auto"/>
        <w:left w:val="none" w:sz="0" w:space="0" w:color="auto"/>
        <w:bottom w:val="none" w:sz="0" w:space="0" w:color="auto"/>
        <w:right w:val="none" w:sz="0" w:space="0" w:color="auto"/>
      </w:divBdr>
    </w:div>
    <w:div w:id="102850890">
      <w:bodyDiv w:val="1"/>
      <w:marLeft w:val="0"/>
      <w:marRight w:val="0"/>
      <w:marTop w:val="0"/>
      <w:marBottom w:val="0"/>
      <w:divBdr>
        <w:top w:val="none" w:sz="0" w:space="0" w:color="auto"/>
        <w:left w:val="none" w:sz="0" w:space="0" w:color="auto"/>
        <w:bottom w:val="none" w:sz="0" w:space="0" w:color="auto"/>
        <w:right w:val="none" w:sz="0" w:space="0" w:color="auto"/>
      </w:divBdr>
    </w:div>
    <w:div w:id="161698591">
      <w:bodyDiv w:val="1"/>
      <w:marLeft w:val="0"/>
      <w:marRight w:val="0"/>
      <w:marTop w:val="0"/>
      <w:marBottom w:val="0"/>
      <w:divBdr>
        <w:top w:val="none" w:sz="0" w:space="0" w:color="auto"/>
        <w:left w:val="none" w:sz="0" w:space="0" w:color="auto"/>
        <w:bottom w:val="none" w:sz="0" w:space="0" w:color="auto"/>
        <w:right w:val="none" w:sz="0" w:space="0" w:color="auto"/>
      </w:divBdr>
    </w:div>
    <w:div w:id="180318627">
      <w:bodyDiv w:val="1"/>
      <w:marLeft w:val="0"/>
      <w:marRight w:val="0"/>
      <w:marTop w:val="0"/>
      <w:marBottom w:val="0"/>
      <w:divBdr>
        <w:top w:val="none" w:sz="0" w:space="0" w:color="auto"/>
        <w:left w:val="none" w:sz="0" w:space="0" w:color="auto"/>
        <w:bottom w:val="none" w:sz="0" w:space="0" w:color="auto"/>
        <w:right w:val="none" w:sz="0" w:space="0" w:color="auto"/>
      </w:divBdr>
    </w:div>
    <w:div w:id="188027911">
      <w:bodyDiv w:val="1"/>
      <w:marLeft w:val="0"/>
      <w:marRight w:val="0"/>
      <w:marTop w:val="0"/>
      <w:marBottom w:val="0"/>
      <w:divBdr>
        <w:top w:val="none" w:sz="0" w:space="0" w:color="auto"/>
        <w:left w:val="none" w:sz="0" w:space="0" w:color="auto"/>
        <w:bottom w:val="none" w:sz="0" w:space="0" w:color="auto"/>
        <w:right w:val="none" w:sz="0" w:space="0" w:color="auto"/>
      </w:divBdr>
    </w:div>
    <w:div w:id="226107813">
      <w:bodyDiv w:val="1"/>
      <w:marLeft w:val="0"/>
      <w:marRight w:val="0"/>
      <w:marTop w:val="0"/>
      <w:marBottom w:val="0"/>
      <w:divBdr>
        <w:top w:val="none" w:sz="0" w:space="0" w:color="auto"/>
        <w:left w:val="none" w:sz="0" w:space="0" w:color="auto"/>
        <w:bottom w:val="none" w:sz="0" w:space="0" w:color="auto"/>
        <w:right w:val="none" w:sz="0" w:space="0" w:color="auto"/>
      </w:divBdr>
    </w:div>
    <w:div w:id="231963795">
      <w:bodyDiv w:val="1"/>
      <w:marLeft w:val="0"/>
      <w:marRight w:val="0"/>
      <w:marTop w:val="0"/>
      <w:marBottom w:val="0"/>
      <w:divBdr>
        <w:top w:val="none" w:sz="0" w:space="0" w:color="auto"/>
        <w:left w:val="none" w:sz="0" w:space="0" w:color="auto"/>
        <w:bottom w:val="none" w:sz="0" w:space="0" w:color="auto"/>
        <w:right w:val="none" w:sz="0" w:space="0" w:color="auto"/>
      </w:divBdr>
    </w:div>
    <w:div w:id="278028498">
      <w:bodyDiv w:val="1"/>
      <w:marLeft w:val="0"/>
      <w:marRight w:val="0"/>
      <w:marTop w:val="0"/>
      <w:marBottom w:val="0"/>
      <w:divBdr>
        <w:top w:val="none" w:sz="0" w:space="0" w:color="auto"/>
        <w:left w:val="none" w:sz="0" w:space="0" w:color="auto"/>
        <w:bottom w:val="none" w:sz="0" w:space="0" w:color="auto"/>
        <w:right w:val="none" w:sz="0" w:space="0" w:color="auto"/>
      </w:divBdr>
    </w:div>
    <w:div w:id="305206591">
      <w:bodyDiv w:val="1"/>
      <w:marLeft w:val="0"/>
      <w:marRight w:val="0"/>
      <w:marTop w:val="0"/>
      <w:marBottom w:val="0"/>
      <w:divBdr>
        <w:top w:val="none" w:sz="0" w:space="0" w:color="auto"/>
        <w:left w:val="none" w:sz="0" w:space="0" w:color="auto"/>
        <w:bottom w:val="none" w:sz="0" w:space="0" w:color="auto"/>
        <w:right w:val="none" w:sz="0" w:space="0" w:color="auto"/>
      </w:divBdr>
    </w:div>
    <w:div w:id="320501535">
      <w:bodyDiv w:val="1"/>
      <w:marLeft w:val="0"/>
      <w:marRight w:val="0"/>
      <w:marTop w:val="0"/>
      <w:marBottom w:val="0"/>
      <w:divBdr>
        <w:top w:val="none" w:sz="0" w:space="0" w:color="auto"/>
        <w:left w:val="none" w:sz="0" w:space="0" w:color="auto"/>
        <w:bottom w:val="none" w:sz="0" w:space="0" w:color="auto"/>
        <w:right w:val="none" w:sz="0" w:space="0" w:color="auto"/>
      </w:divBdr>
    </w:div>
    <w:div w:id="327291020">
      <w:bodyDiv w:val="1"/>
      <w:marLeft w:val="0"/>
      <w:marRight w:val="0"/>
      <w:marTop w:val="0"/>
      <w:marBottom w:val="0"/>
      <w:divBdr>
        <w:top w:val="none" w:sz="0" w:space="0" w:color="auto"/>
        <w:left w:val="none" w:sz="0" w:space="0" w:color="auto"/>
        <w:bottom w:val="none" w:sz="0" w:space="0" w:color="auto"/>
        <w:right w:val="none" w:sz="0" w:space="0" w:color="auto"/>
      </w:divBdr>
    </w:div>
    <w:div w:id="368527891">
      <w:bodyDiv w:val="1"/>
      <w:marLeft w:val="0"/>
      <w:marRight w:val="0"/>
      <w:marTop w:val="0"/>
      <w:marBottom w:val="0"/>
      <w:divBdr>
        <w:top w:val="none" w:sz="0" w:space="0" w:color="auto"/>
        <w:left w:val="none" w:sz="0" w:space="0" w:color="auto"/>
        <w:bottom w:val="none" w:sz="0" w:space="0" w:color="auto"/>
        <w:right w:val="none" w:sz="0" w:space="0" w:color="auto"/>
      </w:divBdr>
    </w:div>
    <w:div w:id="407197375">
      <w:bodyDiv w:val="1"/>
      <w:marLeft w:val="0"/>
      <w:marRight w:val="0"/>
      <w:marTop w:val="0"/>
      <w:marBottom w:val="0"/>
      <w:divBdr>
        <w:top w:val="none" w:sz="0" w:space="0" w:color="auto"/>
        <w:left w:val="none" w:sz="0" w:space="0" w:color="auto"/>
        <w:bottom w:val="none" w:sz="0" w:space="0" w:color="auto"/>
        <w:right w:val="none" w:sz="0" w:space="0" w:color="auto"/>
      </w:divBdr>
    </w:div>
    <w:div w:id="407847488">
      <w:bodyDiv w:val="1"/>
      <w:marLeft w:val="0"/>
      <w:marRight w:val="0"/>
      <w:marTop w:val="0"/>
      <w:marBottom w:val="0"/>
      <w:divBdr>
        <w:top w:val="none" w:sz="0" w:space="0" w:color="auto"/>
        <w:left w:val="none" w:sz="0" w:space="0" w:color="auto"/>
        <w:bottom w:val="none" w:sz="0" w:space="0" w:color="auto"/>
        <w:right w:val="none" w:sz="0" w:space="0" w:color="auto"/>
      </w:divBdr>
    </w:div>
    <w:div w:id="414061228">
      <w:bodyDiv w:val="1"/>
      <w:marLeft w:val="0"/>
      <w:marRight w:val="0"/>
      <w:marTop w:val="0"/>
      <w:marBottom w:val="0"/>
      <w:divBdr>
        <w:top w:val="none" w:sz="0" w:space="0" w:color="auto"/>
        <w:left w:val="none" w:sz="0" w:space="0" w:color="auto"/>
        <w:bottom w:val="none" w:sz="0" w:space="0" w:color="auto"/>
        <w:right w:val="none" w:sz="0" w:space="0" w:color="auto"/>
      </w:divBdr>
    </w:div>
    <w:div w:id="461995052">
      <w:bodyDiv w:val="1"/>
      <w:marLeft w:val="0"/>
      <w:marRight w:val="0"/>
      <w:marTop w:val="0"/>
      <w:marBottom w:val="0"/>
      <w:divBdr>
        <w:top w:val="none" w:sz="0" w:space="0" w:color="auto"/>
        <w:left w:val="none" w:sz="0" w:space="0" w:color="auto"/>
        <w:bottom w:val="none" w:sz="0" w:space="0" w:color="auto"/>
        <w:right w:val="none" w:sz="0" w:space="0" w:color="auto"/>
      </w:divBdr>
    </w:div>
    <w:div w:id="567418077">
      <w:bodyDiv w:val="1"/>
      <w:marLeft w:val="0"/>
      <w:marRight w:val="0"/>
      <w:marTop w:val="0"/>
      <w:marBottom w:val="0"/>
      <w:divBdr>
        <w:top w:val="none" w:sz="0" w:space="0" w:color="auto"/>
        <w:left w:val="none" w:sz="0" w:space="0" w:color="auto"/>
        <w:bottom w:val="none" w:sz="0" w:space="0" w:color="auto"/>
        <w:right w:val="none" w:sz="0" w:space="0" w:color="auto"/>
      </w:divBdr>
    </w:div>
    <w:div w:id="577136180">
      <w:bodyDiv w:val="1"/>
      <w:marLeft w:val="0"/>
      <w:marRight w:val="0"/>
      <w:marTop w:val="0"/>
      <w:marBottom w:val="0"/>
      <w:divBdr>
        <w:top w:val="none" w:sz="0" w:space="0" w:color="auto"/>
        <w:left w:val="none" w:sz="0" w:space="0" w:color="auto"/>
        <w:bottom w:val="none" w:sz="0" w:space="0" w:color="auto"/>
        <w:right w:val="none" w:sz="0" w:space="0" w:color="auto"/>
      </w:divBdr>
    </w:div>
    <w:div w:id="603268779">
      <w:bodyDiv w:val="1"/>
      <w:marLeft w:val="0"/>
      <w:marRight w:val="0"/>
      <w:marTop w:val="0"/>
      <w:marBottom w:val="0"/>
      <w:divBdr>
        <w:top w:val="none" w:sz="0" w:space="0" w:color="auto"/>
        <w:left w:val="none" w:sz="0" w:space="0" w:color="auto"/>
        <w:bottom w:val="none" w:sz="0" w:space="0" w:color="auto"/>
        <w:right w:val="none" w:sz="0" w:space="0" w:color="auto"/>
      </w:divBdr>
    </w:div>
    <w:div w:id="611205298">
      <w:bodyDiv w:val="1"/>
      <w:marLeft w:val="0"/>
      <w:marRight w:val="0"/>
      <w:marTop w:val="0"/>
      <w:marBottom w:val="0"/>
      <w:divBdr>
        <w:top w:val="none" w:sz="0" w:space="0" w:color="auto"/>
        <w:left w:val="none" w:sz="0" w:space="0" w:color="auto"/>
        <w:bottom w:val="none" w:sz="0" w:space="0" w:color="auto"/>
        <w:right w:val="none" w:sz="0" w:space="0" w:color="auto"/>
      </w:divBdr>
    </w:div>
    <w:div w:id="639117792">
      <w:bodyDiv w:val="1"/>
      <w:marLeft w:val="0"/>
      <w:marRight w:val="0"/>
      <w:marTop w:val="0"/>
      <w:marBottom w:val="0"/>
      <w:divBdr>
        <w:top w:val="none" w:sz="0" w:space="0" w:color="auto"/>
        <w:left w:val="none" w:sz="0" w:space="0" w:color="auto"/>
        <w:bottom w:val="none" w:sz="0" w:space="0" w:color="auto"/>
        <w:right w:val="none" w:sz="0" w:space="0" w:color="auto"/>
      </w:divBdr>
    </w:div>
    <w:div w:id="679048618">
      <w:bodyDiv w:val="1"/>
      <w:marLeft w:val="0"/>
      <w:marRight w:val="0"/>
      <w:marTop w:val="0"/>
      <w:marBottom w:val="0"/>
      <w:divBdr>
        <w:top w:val="none" w:sz="0" w:space="0" w:color="auto"/>
        <w:left w:val="none" w:sz="0" w:space="0" w:color="auto"/>
        <w:bottom w:val="none" w:sz="0" w:space="0" w:color="auto"/>
        <w:right w:val="none" w:sz="0" w:space="0" w:color="auto"/>
      </w:divBdr>
    </w:div>
    <w:div w:id="679545317">
      <w:bodyDiv w:val="1"/>
      <w:marLeft w:val="0"/>
      <w:marRight w:val="0"/>
      <w:marTop w:val="0"/>
      <w:marBottom w:val="0"/>
      <w:divBdr>
        <w:top w:val="none" w:sz="0" w:space="0" w:color="auto"/>
        <w:left w:val="none" w:sz="0" w:space="0" w:color="auto"/>
        <w:bottom w:val="none" w:sz="0" w:space="0" w:color="auto"/>
        <w:right w:val="none" w:sz="0" w:space="0" w:color="auto"/>
      </w:divBdr>
    </w:div>
    <w:div w:id="706565045">
      <w:bodyDiv w:val="1"/>
      <w:marLeft w:val="0"/>
      <w:marRight w:val="0"/>
      <w:marTop w:val="0"/>
      <w:marBottom w:val="0"/>
      <w:divBdr>
        <w:top w:val="none" w:sz="0" w:space="0" w:color="auto"/>
        <w:left w:val="none" w:sz="0" w:space="0" w:color="auto"/>
        <w:bottom w:val="none" w:sz="0" w:space="0" w:color="auto"/>
        <w:right w:val="none" w:sz="0" w:space="0" w:color="auto"/>
      </w:divBdr>
    </w:div>
    <w:div w:id="733696711">
      <w:bodyDiv w:val="1"/>
      <w:marLeft w:val="0"/>
      <w:marRight w:val="0"/>
      <w:marTop w:val="0"/>
      <w:marBottom w:val="0"/>
      <w:divBdr>
        <w:top w:val="none" w:sz="0" w:space="0" w:color="auto"/>
        <w:left w:val="none" w:sz="0" w:space="0" w:color="auto"/>
        <w:bottom w:val="none" w:sz="0" w:space="0" w:color="auto"/>
        <w:right w:val="none" w:sz="0" w:space="0" w:color="auto"/>
      </w:divBdr>
    </w:div>
    <w:div w:id="780494196">
      <w:bodyDiv w:val="1"/>
      <w:marLeft w:val="0"/>
      <w:marRight w:val="0"/>
      <w:marTop w:val="0"/>
      <w:marBottom w:val="0"/>
      <w:divBdr>
        <w:top w:val="none" w:sz="0" w:space="0" w:color="auto"/>
        <w:left w:val="none" w:sz="0" w:space="0" w:color="auto"/>
        <w:bottom w:val="none" w:sz="0" w:space="0" w:color="auto"/>
        <w:right w:val="none" w:sz="0" w:space="0" w:color="auto"/>
      </w:divBdr>
    </w:div>
    <w:div w:id="788429329">
      <w:bodyDiv w:val="1"/>
      <w:marLeft w:val="0"/>
      <w:marRight w:val="0"/>
      <w:marTop w:val="0"/>
      <w:marBottom w:val="0"/>
      <w:divBdr>
        <w:top w:val="none" w:sz="0" w:space="0" w:color="auto"/>
        <w:left w:val="none" w:sz="0" w:space="0" w:color="auto"/>
        <w:bottom w:val="none" w:sz="0" w:space="0" w:color="auto"/>
        <w:right w:val="none" w:sz="0" w:space="0" w:color="auto"/>
      </w:divBdr>
    </w:div>
    <w:div w:id="794562373">
      <w:bodyDiv w:val="1"/>
      <w:marLeft w:val="0"/>
      <w:marRight w:val="0"/>
      <w:marTop w:val="0"/>
      <w:marBottom w:val="0"/>
      <w:divBdr>
        <w:top w:val="none" w:sz="0" w:space="0" w:color="auto"/>
        <w:left w:val="none" w:sz="0" w:space="0" w:color="auto"/>
        <w:bottom w:val="none" w:sz="0" w:space="0" w:color="auto"/>
        <w:right w:val="none" w:sz="0" w:space="0" w:color="auto"/>
      </w:divBdr>
    </w:div>
    <w:div w:id="796218329">
      <w:bodyDiv w:val="1"/>
      <w:marLeft w:val="0"/>
      <w:marRight w:val="0"/>
      <w:marTop w:val="0"/>
      <w:marBottom w:val="0"/>
      <w:divBdr>
        <w:top w:val="none" w:sz="0" w:space="0" w:color="auto"/>
        <w:left w:val="none" w:sz="0" w:space="0" w:color="auto"/>
        <w:bottom w:val="none" w:sz="0" w:space="0" w:color="auto"/>
        <w:right w:val="none" w:sz="0" w:space="0" w:color="auto"/>
      </w:divBdr>
    </w:div>
    <w:div w:id="809902759">
      <w:bodyDiv w:val="1"/>
      <w:marLeft w:val="0"/>
      <w:marRight w:val="0"/>
      <w:marTop w:val="0"/>
      <w:marBottom w:val="0"/>
      <w:divBdr>
        <w:top w:val="none" w:sz="0" w:space="0" w:color="auto"/>
        <w:left w:val="none" w:sz="0" w:space="0" w:color="auto"/>
        <w:bottom w:val="none" w:sz="0" w:space="0" w:color="auto"/>
        <w:right w:val="none" w:sz="0" w:space="0" w:color="auto"/>
      </w:divBdr>
    </w:div>
    <w:div w:id="832650453">
      <w:bodyDiv w:val="1"/>
      <w:marLeft w:val="0"/>
      <w:marRight w:val="0"/>
      <w:marTop w:val="0"/>
      <w:marBottom w:val="0"/>
      <w:divBdr>
        <w:top w:val="none" w:sz="0" w:space="0" w:color="auto"/>
        <w:left w:val="none" w:sz="0" w:space="0" w:color="auto"/>
        <w:bottom w:val="none" w:sz="0" w:space="0" w:color="auto"/>
        <w:right w:val="none" w:sz="0" w:space="0" w:color="auto"/>
      </w:divBdr>
    </w:div>
    <w:div w:id="834033996">
      <w:bodyDiv w:val="1"/>
      <w:marLeft w:val="0"/>
      <w:marRight w:val="0"/>
      <w:marTop w:val="0"/>
      <w:marBottom w:val="0"/>
      <w:divBdr>
        <w:top w:val="none" w:sz="0" w:space="0" w:color="auto"/>
        <w:left w:val="none" w:sz="0" w:space="0" w:color="auto"/>
        <w:bottom w:val="none" w:sz="0" w:space="0" w:color="auto"/>
        <w:right w:val="none" w:sz="0" w:space="0" w:color="auto"/>
      </w:divBdr>
    </w:div>
    <w:div w:id="850414477">
      <w:bodyDiv w:val="1"/>
      <w:marLeft w:val="0"/>
      <w:marRight w:val="0"/>
      <w:marTop w:val="0"/>
      <w:marBottom w:val="0"/>
      <w:divBdr>
        <w:top w:val="none" w:sz="0" w:space="0" w:color="auto"/>
        <w:left w:val="none" w:sz="0" w:space="0" w:color="auto"/>
        <w:bottom w:val="none" w:sz="0" w:space="0" w:color="auto"/>
        <w:right w:val="none" w:sz="0" w:space="0" w:color="auto"/>
      </w:divBdr>
    </w:div>
    <w:div w:id="879518415">
      <w:bodyDiv w:val="1"/>
      <w:marLeft w:val="0"/>
      <w:marRight w:val="0"/>
      <w:marTop w:val="0"/>
      <w:marBottom w:val="0"/>
      <w:divBdr>
        <w:top w:val="none" w:sz="0" w:space="0" w:color="auto"/>
        <w:left w:val="none" w:sz="0" w:space="0" w:color="auto"/>
        <w:bottom w:val="none" w:sz="0" w:space="0" w:color="auto"/>
        <w:right w:val="none" w:sz="0" w:space="0" w:color="auto"/>
      </w:divBdr>
    </w:div>
    <w:div w:id="889262849">
      <w:bodyDiv w:val="1"/>
      <w:marLeft w:val="0"/>
      <w:marRight w:val="0"/>
      <w:marTop w:val="0"/>
      <w:marBottom w:val="0"/>
      <w:divBdr>
        <w:top w:val="none" w:sz="0" w:space="0" w:color="auto"/>
        <w:left w:val="none" w:sz="0" w:space="0" w:color="auto"/>
        <w:bottom w:val="none" w:sz="0" w:space="0" w:color="auto"/>
        <w:right w:val="none" w:sz="0" w:space="0" w:color="auto"/>
      </w:divBdr>
    </w:div>
    <w:div w:id="906840365">
      <w:bodyDiv w:val="1"/>
      <w:marLeft w:val="0"/>
      <w:marRight w:val="0"/>
      <w:marTop w:val="0"/>
      <w:marBottom w:val="0"/>
      <w:divBdr>
        <w:top w:val="none" w:sz="0" w:space="0" w:color="auto"/>
        <w:left w:val="none" w:sz="0" w:space="0" w:color="auto"/>
        <w:bottom w:val="none" w:sz="0" w:space="0" w:color="auto"/>
        <w:right w:val="none" w:sz="0" w:space="0" w:color="auto"/>
      </w:divBdr>
    </w:div>
    <w:div w:id="939215629">
      <w:bodyDiv w:val="1"/>
      <w:marLeft w:val="0"/>
      <w:marRight w:val="0"/>
      <w:marTop w:val="0"/>
      <w:marBottom w:val="0"/>
      <w:divBdr>
        <w:top w:val="none" w:sz="0" w:space="0" w:color="auto"/>
        <w:left w:val="none" w:sz="0" w:space="0" w:color="auto"/>
        <w:bottom w:val="none" w:sz="0" w:space="0" w:color="auto"/>
        <w:right w:val="none" w:sz="0" w:space="0" w:color="auto"/>
      </w:divBdr>
    </w:div>
    <w:div w:id="970210728">
      <w:bodyDiv w:val="1"/>
      <w:marLeft w:val="0"/>
      <w:marRight w:val="0"/>
      <w:marTop w:val="0"/>
      <w:marBottom w:val="0"/>
      <w:divBdr>
        <w:top w:val="none" w:sz="0" w:space="0" w:color="auto"/>
        <w:left w:val="none" w:sz="0" w:space="0" w:color="auto"/>
        <w:bottom w:val="none" w:sz="0" w:space="0" w:color="auto"/>
        <w:right w:val="none" w:sz="0" w:space="0" w:color="auto"/>
      </w:divBdr>
    </w:div>
    <w:div w:id="1026062800">
      <w:bodyDiv w:val="1"/>
      <w:marLeft w:val="0"/>
      <w:marRight w:val="0"/>
      <w:marTop w:val="0"/>
      <w:marBottom w:val="0"/>
      <w:divBdr>
        <w:top w:val="none" w:sz="0" w:space="0" w:color="auto"/>
        <w:left w:val="none" w:sz="0" w:space="0" w:color="auto"/>
        <w:bottom w:val="none" w:sz="0" w:space="0" w:color="auto"/>
        <w:right w:val="none" w:sz="0" w:space="0" w:color="auto"/>
      </w:divBdr>
    </w:div>
    <w:div w:id="1026753640">
      <w:bodyDiv w:val="1"/>
      <w:marLeft w:val="0"/>
      <w:marRight w:val="0"/>
      <w:marTop w:val="0"/>
      <w:marBottom w:val="0"/>
      <w:divBdr>
        <w:top w:val="none" w:sz="0" w:space="0" w:color="auto"/>
        <w:left w:val="none" w:sz="0" w:space="0" w:color="auto"/>
        <w:bottom w:val="none" w:sz="0" w:space="0" w:color="auto"/>
        <w:right w:val="none" w:sz="0" w:space="0" w:color="auto"/>
      </w:divBdr>
    </w:div>
    <w:div w:id="1045563116">
      <w:bodyDiv w:val="1"/>
      <w:marLeft w:val="0"/>
      <w:marRight w:val="0"/>
      <w:marTop w:val="0"/>
      <w:marBottom w:val="0"/>
      <w:divBdr>
        <w:top w:val="none" w:sz="0" w:space="0" w:color="auto"/>
        <w:left w:val="none" w:sz="0" w:space="0" w:color="auto"/>
        <w:bottom w:val="none" w:sz="0" w:space="0" w:color="auto"/>
        <w:right w:val="none" w:sz="0" w:space="0" w:color="auto"/>
      </w:divBdr>
    </w:div>
    <w:div w:id="1045956153">
      <w:bodyDiv w:val="1"/>
      <w:marLeft w:val="0"/>
      <w:marRight w:val="0"/>
      <w:marTop w:val="0"/>
      <w:marBottom w:val="0"/>
      <w:divBdr>
        <w:top w:val="none" w:sz="0" w:space="0" w:color="auto"/>
        <w:left w:val="none" w:sz="0" w:space="0" w:color="auto"/>
        <w:bottom w:val="none" w:sz="0" w:space="0" w:color="auto"/>
        <w:right w:val="none" w:sz="0" w:space="0" w:color="auto"/>
      </w:divBdr>
    </w:div>
    <w:div w:id="1082069906">
      <w:bodyDiv w:val="1"/>
      <w:marLeft w:val="0"/>
      <w:marRight w:val="0"/>
      <w:marTop w:val="0"/>
      <w:marBottom w:val="0"/>
      <w:divBdr>
        <w:top w:val="none" w:sz="0" w:space="0" w:color="auto"/>
        <w:left w:val="none" w:sz="0" w:space="0" w:color="auto"/>
        <w:bottom w:val="none" w:sz="0" w:space="0" w:color="auto"/>
        <w:right w:val="none" w:sz="0" w:space="0" w:color="auto"/>
      </w:divBdr>
    </w:div>
    <w:div w:id="1098063417">
      <w:bodyDiv w:val="1"/>
      <w:marLeft w:val="0"/>
      <w:marRight w:val="0"/>
      <w:marTop w:val="0"/>
      <w:marBottom w:val="0"/>
      <w:divBdr>
        <w:top w:val="none" w:sz="0" w:space="0" w:color="auto"/>
        <w:left w:val="none" w:sz="0" w:space="0" w:color="auto"/>
        <w:bottom w:val="none" w:sz="0" w:space="0" w:color="auto"/>
        <w:right w:val="none" w:sz="0" w:space="0" w:color="auto"/>
      </w:divBdr>
    </w:div>
    <w:div w:id="1132865339">
      <w:bodyDiv w:val="1"/>
      <w:marLeft w:val="0"/>
      <w:marRight w:val="0"/>
      <w:marTop w:val="0"/>
      <w:marBottom w:val="0"/>
      <w:divBdr>
        <w:top w:val="none" w:sz="0" w:space="0" w:color="auto"/>
        <w:left w:val="none" w:sz="0" w:space="0" w:color="auto"/>
        <w:bottom w:val="none" w:sz="0" w:space="0" w:color="auto"/>
        <w:right w:val="none" w:sz="0" w:space="0" w:color="auto"/>
      </w:divBdr>
    </w:div>
    <w:div w:id="1148206418">
      <w:bodyDiv w:val="1"/>
      <w:marLeft w:val="0"/>
      <w:marRight w:val="0"/>
      <w:marTop w:val="0"/>
      <w:marBottom w:val="0"/>
      <w:divBdr>
        <w:top w:val="none" w:sz="0" w:space="0" w:color="auto"/>
        <w:left w:val="none" w:sz="0" w:space="0" w:color="auto"/>
        <w:bottom w:val="none" w:sz="0" w:space="0" w:color="auto"/>
        <w:right w:val="none" w:sz="0" w:space="0" w:color="auto"/>
      </w:divBdr>
    </w:div>
    <w:div w:id="1153178512">
      <w:bodyDiv w:val="1"/>
      <w:marLeft w:val="0"/>
      <w:marRight w:val="0"/>
      <w:marTop w:val="0"/>
      <w:marBottom w:val="0"/>
      <w:divBdr>
        <w:top w:val="none" w:sz="0" w:space="0" w:color="auto"/>
        <w:left w:val="none" w:sz="0" w:space="0" w:color="auto"/>
        <w:bottom w:val="none" w:sz="0" w:space="0" w:color="auto"/>
        <w:right w:val="none" w:sz="0" w:space="0" w:color="auto"/>
      </w:divBdr>
    </w:div>
    <w:div w:id="1175144173">
      <w:bodyDiv w:val="1"/>
      <w:marLeft w:val="0"/>
      <w:marRight w:val="0"/>
      <w:marTop w:val="0"/>
      <w:marBottom w:val="0"/>
      <w:divBdr>
        <w:top w:val="none" w:sz="0" w:space="0" w:color="auto"/>
        <w:left w:val="none" w:sz="0" w:space="0" w:color="auto"/>
        <w:bottom w:val="none" w:sz="0" w:space="0" w:color="auto"/>
        <w:right w:val="none" w:sz="0" w:space="0" w:color="auto"/>
      </w:divBdr>
    </w:div>
    <w:div w:id="1189027906">
      <w:bodyDiv w:val="1"/>
      <w:marLeft w:val="0"/>
      <w:marRight w:val="0"/>
      <w:marTop w:val="0"/>
      <w:marBottom w:val="0"/>
      <w:divBdr>
        <w:top w:val="none" w:sz="0" w:space="0" w:color="auto"/>
        <w:left w:val="none" w:sz="0" w:space="0" w:color="auto"/>
        <w:bottom w:val="none" w:sz="0" w:space="0" w:color="auto"/>
        <w:right w:val="none" w:sz="0" w:space="0" w:color="auto"/>
      </w:divBdr>
    </w:div>
    <w:div w:id="1244922953">
      <w:bodyDiv w:val="1"/>
      <w:marLeft w:val="0"/>
      <w:marRight w:val="0"/>
      <w:marTop w:val="0"/>
      <w:marBottom w:val="0"/>
      <w:divBdr>
        <w:top w:val="none" w:sz="0" w:space="0" w:color="auto"/>
        <w:left w:val="none" w:sz="0" w:space="0" w:color="auto"/>
        <w:bottom w:val="none" w:sz="0" w:space="0" w:color="auto"/>
        <w:right w:val="none" w:sz="0" w:space="0" w:color="auto"/>
      </w:divBdr>
    </w:div>
    <w:div w:id="1251154761">
      <w:bodyDiv w:val="1"/>
      <w:marLeft w:val="0"/>
      <w:marRight w:val="0"/>
      <w:marTop w:val="0"/>
      <w:marBottom w:val="0"/>
      <w:divBdr>
        <w:top w:val="none" w:sz="0" w:space="0" w:color="auto"/>
        <w:left w:val="none" w:sz="0" w:space="0" w:color="auto"/>
        <w:bottom w:val="none" w:sz="0" w:space="0" w:color="auto"/>
        <w:right w:val="none" w:sz="0" w:space="0" w:color="auto"/>
      </w:divBdr>
    </w:div>
    <w:div w:id="1255556074">
      <w:bodyDiv w:val="1"/>
      <w:marLeft w:val="0"/>
      <w:marRight w:val="0"/>
      <w:marTop w:val="0"/>
      <w:marBottom w:val="0"/>
      <w:divBdr>
        <w:top w:val="none" w:sz="0" w:space="0" w:color="auto"/>
        <w:left w:val="none" w:sz="0" w:space="0" w:color="auto"/>
        <w:bottom w:val="none" w:sz="0" w:space="0" w:color="auto"/>
        <w:right w:val="none" w:sz="0" w:space="0" w:color="auto"/>
      </w:divBdr>
    </w:div>
    <w:div w:id="1276718796">
      <w:bodyDiv w:val="1"/>
      <w:marLeft w:val="0"/>
      <w:marRight w:val="0"/>
      <w:marTop w:val="0"/>
      <w:marBottom w:val="0"/>
      <w:divBdr>
        <w:top w:val="none" w:sz="0" w:space="0" w:color="auto"/>
        <w:left w:val="none" w:sz="0" w:space="0" w:color="auto"/>
        <w:bottom w:val="none" w:sz="0" w:space="0" w:color="auto"/>
        <w:right w:val="none" w:sz="0" w:space="0" w:color="auto"/>
      </w:divBdr>
    </w:div>
    <w:div w:id="1330906162">
      <w:bodyDiv w:val="1"/>
      <w:marLeft w:val="0"/>
      <w:marRight w:val="0"/>
      <w:marTop w:val="0"/>
      <w:marBottom w:val="0"/>
      <w:divBdr>
        <w:top w:val="none" w:sz="0" w:space="0" w:color="auto"/>
        <w:left w:val="none" w:sz="0" w:space="0" w:color="auto"/>
        <w:bottom w:val="none" w:sz="0" w:space="0" w:color="auto"/>
        <w:right w:val="none" w:sz="0" w:space="0" w:color="auto"/>
      </w:divBdr>
    </w:div>
    <w:div w:id="1331106216">
      <w:bodyDiv w:val="1"/>
      <w:marLeft w:val="0"/>
      <w:marRight w:val="0"/>
      <w:marTop w:val="0"/>
      <w:marBottom w:val="0"/>
      <w:divBdr>
        <w:top w:val="none" w:sz="0" w:space="0" w:color="auto"/>
        <w:left w:val="none" w:sz="0" w:space="0" w:color="auto"/>
        <w:bottom w:val="none" w:sz="0" w:space="0" w:color="auto"/>
        <w:right w:val="none" w:sz="0" w:space="0" w:color="auto"/>
      </w:divBdr>
    </w:div>
    <w:div w:id="1353339379">
      <w:bodyDiv w:val="1"/>
      <w:marLeft w:val="0"/>
      <w:marRight w:val="0"/>
      <w:marTop w:val="0"/>
      <w:marBottom w:val="0"/>
      <w:divBdr>
        <w:top w:val="none" w:sz="0" w:space="0" w:color="auto"/>
        <w:left w:val="none" w:sz="0" w:space="0" w:color="auto"/>
        <w:bottom w:val="none" w:sz="0" w:space="0" w:color="auto"/>
        <w:right w:val="none" w:sz="0" w:space="0" w:color="auto"/>
      </w:divBdr>
    </w:div>
    <w:div w:id="1353532356">
      <w:bodyDiv w:val="1"/>
      <w:marLeft w:val="0"/>
      <w:marRight w:val="0"/>
      <w:marTop w:val="0"/>
      <w:marBottom w:val="0"/>
      <w:divBdr>
        <w:top w:val="none" w:sz="0" w:space="0" w:color="auto"/>
        <w:left w:val="none" w:sz="0" w:space="0" w:color="auto"/>
        <w:bottom w:val="none" w:sz="0" w:space="0" w:color="auto"/>
        <w:right w:val="none" w:sz="0" w:space="0" w:color="auto"/>
      </w:divBdr>
    </w:div>
    <w:div w:id="1355114675">
      <w:bodyDiv w:val="1"/>
      <w:marLeft w:val="0"/>
      <w:marRight w:val="0"/>
      <w:marTop w:val="0"/>
      <w:marBottom w:val="0"/>
      <w:divBdr>
        <w:top w:val="none" w:sz="0" w:space="0" w:color="auto"/>
        <w:left w:val="none" w:sz="0" w:space="0" w:color="auto"/>
        <w:bottom w:val="none" w:sz="0" w:space="0" w:color="auto"/>
        <w:right w:val="none" w:sz="0" w:space="0" w:color="auto"/>
      </w:divBdr>
    </w:div>
    <w:div w:id="1356810633">
      <w:bodyDiv w:val="1"/>
      <w:marLeft w:val="0"/>
      <w:marRight w:val="0"/>
      <w:marTop w:val="0"/>
      <w:marBottom w:val="0"/>
      <w:divBdr>
        <w:top w:val="none" w:sz="0" w:space="0" w:color="auto"/>
        <w:left w:val="none" w:sz="0" w:space="0" w:color="auto"/>
        <w:bottom w:val="none" w:sz="0" w:space="0" w:color="auto"/>
        <w:right w:val="none" w:sz="0" w:space="0" w:color="auto"/>
      </w:divBdr>
    </w:div>
    <w:div w:id="1367176884">
      <w:bodyDiv w:val="1"/>
      <w:marLeft w:val="0"/>
      <w:marRight w:val="0"/>
      <w:marTop w:val="0"/>
      <w:marBottom w:val="0"/>
      <w:divBdr>
        <w:top w:val="none" w:sz="0" w:space="0" w:color="auto"/>
        <w:left w:val="none" w:sz="0" w:space="0" w:color="auto"/>
        <w:bottom w:val="none" w:sz="0" w:space="0" w:color="auto"/>
        <w:right w:val="none" w:sz="0" w:space="0" w:color="auto"/>
      </w:divBdr>
    </w:div>
    <w:div w:id="1398935306">
      <w:bodyDiv w:val="1"/>
      <w:marLeft w:val="0"/>
      <w:marRight w:val="0"/>
      <w:marTop w:val="0"/>
      <w:marBottom w:val="0"/>
      <w:divBdr>
        <w:top w:val="none" w:sz="0" w:space="0" w:color="auto"/>
        <w:left w:val="none" w:sz="0" w:space="0" w:color="auto"/>
        <w:bottom w:val="none" w:sz="0" w:space="0" w:color="auto"/>
        <w:right w:val="none" w:sz="0" w:space="0" w:color="auto"/>
      </w:divBdr>
    </w:div>
    <w:div w:id="1470786663">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522356691">
      <w:bodyDiv w:val="1"/>
      <w:marLeft w:val="0"/>
      <w:marRight w:val="0"/>
      <w:marTop w:val="0"/>
      <w:marBottom w:val="0"/>
      <w:divBdr>
        <w:top w:val="none" w:sz="0" w:space="0" w:color="auto"/>
        <w:left w:val="none" w:sz="0" w:space="0" w:color="auto"/>
        <w:bottom w:val="none" w:sz="0" w:space="0" w:color="auto"/>
        <w:right w:val="none" w:sz="0" w:space="0" w:color="auto"/>
      </w:divBdr>
    </w:div>
    <w:div w:id="1560825795">
      <w:bodyDiv w:val="1"/>
      <w:marLeft w:val="0"/>
      <w:marRight w:val="0"/>
      <w:marTop w:val="0"/>
      <w:marBottom w:val="0"/>
      <w:divBdr>
        <w:top w:val="none" w:sz="0" w:space="0" w:color="auto"/>
        <w:left w:val="none" w:sz="0" w:space="0" w:color="auto"/>
        <w:bottom w:val="none" w:sz="0" w:space="0" w:color="auto"/>
        <w:right w:val="none" w:sz="0" w:space="0" w:color="auto"/>
      </w:divBdr>
    </w:div>
    <w:div w:id="1582325865">
      <w:bodyDiv w:val="1"/>
      <w:marLeft w:val="0"/>
      <w:marRight w:val="0"/>
      <w:marTop w:val="0"/>
      <w:marBottom w:val="0"/>
      <w:divBdr>
        <w:top w:val="none" w:sz="0" w:space="0" w:color="auto"/>
        <w:left w:val="none" w:sz="0" w:space="0" w:color="auto"/>
        <w:bottom w:val="none" w:sz="0" w:space="0" w:color="auto"/>
        <w:right w:val="none" w:sz="0" w:space="0" w:color="auto"/>
      </w:divBdr>
    </w:div>
    <w:div w:id="1650552117">
      <w:bodyDiv w:val="1"/>
      <w:marLeft w:val="0"/>
      <w:marRight w:val="0"/>
      <w:marTop w:val="0"/>
      <w:marBottom w:val="0"/>
      <w:divBdr>
        <w:top w:val="none" w:sz="0" w:space="0" w:color="auto"/>
        <w:left w:val="none" w:sz="0" w:space="0" w:color="auto"/>
        <w:bottom w:val="none" w:sz="0" w:space="0" w:color="auto"/>
        <w:right w:val="none" w:sz="0" w:space="0" w:color="auto"/>
      </w:divBdr>
    </w:div>
    <w:div w:id="1670062700">
      <w:bodyDiv w:val="1"/>
      <w:marLeft w:val="0"/>
      <w:marRight w:val="0"/>
      <w:marTop w:val="0"/>
      <w:marBottom w:val="0"/>
      <w:divBdr>
        <w:top w:val="none" w:sz="0" w:space="0" w:color="auto"/>
        <w:left w:val="none" w:sz="0" w:space="0" w:color="auto"/>
        <w:bottom w:val="none" w:sz="0" w:space="0" w:color="auto"/>
        <w:right w:val="none" w:sz="0" w:space="0" w:color="auto"/>
      </w:divBdr>
    </w:div>
    <w:div w:id="1695228559">
      <w:bodyDiv w:val="1"/>
      <w:marLeft w:val="0"/>
      <w:marRight w:val="0"/>
      <w:marTop w:val="0"/>
      <w:marBottom w:val="0"/>
      <w:divBdr>
        <w:top w:val="none" w:sz="0" w:space="0" w:color="auto"/>
        <w:left w:val="none" w:sz="0" w:space="0" w:color="auto"/>
        <w:bottom w:val="none" w:sz="0" w:space="0" w:color="auto"/>
        <w:right w:val="none" w:sz="0" w:space="0" w:color="auto"/>
      </w:divBdr>
    </w:div>
    <w:div w:id="1705784608">
      <w:bodyDiv w:val="1"/>
      <w:marLeft w:val="0"/>
      <w:marRight w:val="0"/>
      <w:marTop w:val="0"/>
      <w:marBottom w:val="0"/>
      <w:divBdr>
        <w:top w:val="none" w:sz="0" w:space="0" w:color="auto"/>
        <w:left w:val="none" w:sz="0" w:space="0" w:color="auto"/>
        <w:bottom w:val="none" w:sz="0" w:space="0" w:color="auto"/>
        <w:right w:val="none" w:sz="0" w:space="0" w:color="auto"/>
      </w:divBdr>
    </w:div>
    <w:div w:id="1706515324">
      <w:bodyDiv w:val="1"/>
      <w:marLeft w:val="0"/>
      <w:marRight w:val="0"/>
      <w:marTop w:val="0"/>
      <w:marBottom w:val="0"/>
      <w:divBdr>
        <w:top w:val="none" w:sz="0" w:space="0" w:color="auto"/>
        <w:left w:val="none" w:sz="0" w:space="0" w:color="auto"/>
        <w:bottom w:val="none" w:sz="0" w:space="0" w:color="auto"/>
        <w:right w:val="none" w:sz="0" w:space="0" w:color="auto"/>
      </w:divBdr>
    </w:div>
    <w:div w:id="1721436514">
      <w:bodyDiv w:val="1"/>
      <w:marLeft w:val="0"/>
      <w:marRight w:val="0"/>
      <w:marTop w:val="0"/>
      <w:marBottom w:val="0"/>
      <w:divBdr>
        <w:top w:val="none" w:sz="0" w:space="0" w:color="auto"/>
        <w:left w:val="none" w:sz="0" w:space="0" w:color="auto"/>
        <w:bottom w:val="none" w:sz="0" w:space="0" w:color="auto"/>
        <w:right w:val="none" w:sz="0" w:space="0" w:color="auto"/>
      </w:divBdr>
    </w:div>
    <w:div w:id="1736203836">
      <w:bodyDiv w:val="1"/>
      <w:marLeft w:val="0"/>
      <w:marRight w:val="0"/>
      <w:marTop w:val="0"/>
      <w:marBottom w:val="0"/>
      <w:divBdr>
        <w:top w:val="none" w:sz="0" w:space="0" w:color="auto"/>
        <w:left w:val="none" w:sz="0" w:space="0" w:color="auto"/>
        <w:bottom w:val="none" w:sz="0" w:space="0" w:color="auto"/>
        <w:right w:val="none" w:sz="0" w:space="0" w:color="auto"/>
      </w:divBdr>
    </w:div>
    <w:div w:id="1754010978">
      <w:bodyDiv w:val="1"/>
      <w:marLeft w:val="0"/>
      <w:marRight w:val="0"/>
      <w:marTop w:val="0"/>
      <w:marBottom w:val="0"/>
      <w:divBdr>
        <w:top w:val="none" w:sz="0" w:space="0" w:color="auto"/>
        <w:left w:val="none" w:sz="0" w:space="0" w:color="auto"/>
        <w:bottom w:val="none" w:sz="0" w:space="0" w:color="auto"/>
        <w:right w:val="none" w:sz="0" w:space="0" w:color="auto"/>
      </w:divBdr>
    </w:div>
    <w:div w:id="1778022989">
      <w:bodyDiv w:val="1"/>
      <w:marLeft w:val="0"/>
      <w:marRight w:val="0"/>
      <w:marTop w:val="0"/>
      <w:marBottom w:val="0"/>
      <w:divBdr>
        <w:top w:val="none" w:sz="0" w:space="0" w:color="auto"/>
        <w:left w:val="none" w:sz="0" w:space="0" w:color="auto"/>
        <w:bottom w:val="none" w:sz="0" w:space="0" w:color="auto"/>
        <w:right w:val="none" w:sz="0" w:space="0" w:color="auto"/>
      </w:divBdr>
    </w:div>
    <w:div w:id="1783382141">
      <w:bodyDiv w:val="1"/>
      <w:marLeft w:val="0"/>
      <w:marRight w:val="0"/>
      <w:marTop w:val="0"/>
      <w:marBottom w:val="0"/>
      <w:divBdr>
        <w:top w:val="none" w:sz="0" w:space="0" w:color="auto"/>
        <w:left w:val="none" w:sz="0" w:space="0" w:color="auto"/>
        <w:bottom w:val="none" w:sz="0" w:space="0" w:color="auto"/>
        <w:right w:val="none" w:sz="0" w:space="0" w:color="auto"/>
      </w:divBdr>
    </w:div>
    <w:div w:id="1802385531">
      <w:bodyDiv w:val="1"/>
      <w:marLeft w:val="0"/>
      <w:marRight w:val="0"/>
      <w:marTop w:val="0"/>
      <w:marBottom w:val="0"/>
      <w:divBdr>
        <w:top w:val="none" w:sz="0" w:space="0" w:color="auto"/>
        <w:left w:val="none" w:sz="0" w:space="0" w:color="auto"/>
        <w:bottom w:val="none" w:sz="0" w:space="0" w:color="auto"/>
        <w:right w:val="none" w:sz="0" w:space="0" w:color="auto"/>
      </w:divBdr>
    </w:div>
    <w:div w:id="1816600268">
      <w:bodyDiv w:val="1"/>
      <w:marLeft w:val="0"/>
      <w:marRight w:val="0"/>
      <w:marTop w:val="0"/>
      <w:marBottom w:val="0"/>
      <w:divBdr>
        <w:top w:val="none" w:sz="0" w:space="0" w:color="auto"/>
        <w:left w:val="none" w:sz="0" w:space="0" w:color="auto"/>
        <w:bottom w:val="none" w:sz="0" w:space="0" w:color="auto"/>
        <w:right w:val="none" w:sz="0" w:space="0" w:color="auto"/>
      </w:divBdr>
    </w:div>
    <w:div w:id="1832255579">
      <w:bodyDiv w:val="1"/>
      <w:marLeft w:val="0"/>
      <w:marRight w:val="0"/>
      <w:marTop w:val="0"/>
      <w:marBottom w:val="0"/>
      <w:divBdr>
        <w:top w:val="none" w:sz="0" w:space="0" w:color="auto"/>
        <w:left w:val="none" w:sz="0" w:space="0" w:color="auto"/>
        <w:bottom w:val="none" w:sz="0" w:space="0" w:color="auto"/>
        <w:right w:val="none" w:sz="0" w:space="0" w:color="auto"/>
      </w:divBdr>
    </w:div>
    <w:div w:id="1838039238">
      <w:bodyDiv w:val="1"/>
      <w:marLeft w:val="0"/>
      <w:marRight w:val="0"/>
      <w:marTop w:val="0"/>
      <w:marBottom w:val="0"/>
      <w:divBdr>
        <w:top w:val="none" w:sz="0" w:space="0" w:color="auto"/>
        <w:left w:val="none" w:sz="0" w:space="0" w:color="auto"/>
        <w:bottom w:val="none" w:sz="0" w:space="0" w:color="auto"/>
        <w:right w:val="none" w:sz="0" w:space="0" w:color="auto"/>
      </w:divBdr>
    </w:div>
    <w:div w:id="1859151948">
      <w:bodyDiv w:val="1"/>
      <w:marLeft w:val="0"/>
      <w:marRight w:val="0"/>
      <w:marTop w:val="0"/>
      <w:marBottom w:val="0"/>
      <w:divBdr>
        <w:top w:val="none" w:sz="0" w:space="0" w:color="auto"/>
        <w:left w:val="none" w:sz="0" w:space="0" w:color="auto"/>
        <w:bottom w:val="none" w:sz="0" w:space="0" w:color="auto"/>
        <w:right w:val="none" w:sz="0" w:space="0" w:color="auto"/>
      </w:divBdr>
    </w:div>
    <w:div w:id="1942564973">
      <w:bodyDiv w:val="1"/>
      <w:marLeft w:val="0"/>
      <w:marRight w:val="0"/>
      <w:marTop w:val="0"/>
      <w:marBottom w:val="0"/>
      <w:divBdr>
        <w:top w:val="none" w:sz="0" w:space="0" w:color="auto"/>
        <w:left w:val="none" w:sz="0" w:space="0" w:color="auto"/>
        <w:bottom w:val="none" w:sz="0" w:space="0" w:color="auto"/>
        <w:right w:val="none" w:sz="0" w:space="0" w:color="auto"/>
      </w:divBdr>
    </w:div>
    <w:div w:id="1991517395">
      <w:bodyDiv w:val="1"/>
      <w:marLeft w:val="0"/>
      <w:marRight w:val="0"/>
      <w:marTop w:val="0"/>
      <w:marBottom w:val="0"/>
      <w:divBdr>
        <w:top w:val="none" w:sz="0" w:space="0" w:color="auto"/>
        <w:left w:val="none" w:sz="0" w:space="0" w:color="auto"/>
        <w:bottom w:val="none" w:sz="0" w:space="0" w:color="auto"/>
        <w:right w:val="none" w:sz="0" w:space="0" w:color="auto"/>
      </w:divBdr>
    </w:div>
    <w:div w:id="2046565566">
      <w:bodyDiv w:val="1"/>
      <w:marLeft w:val="0"/>
      <w:marRight w:val="0"/>
      <w:marTop w:val="0"/>
      <w:marBottom w:val="0"/>
      <w:divBdr>
        <w:top w:val="none" w:sz="0" w:space="0" w:color="auto"/>
        <w:left w:val="none" w:sz="0" w:space="0" w:color="auto"/>
        <w:bottom w:val="none" w:sz="0" w:space="0" w:color="auto"/>
        <w:right w:val="none" w:sz="0" w:space="0" w:color="auto"/>
      </w:divBdr>
    </w:div>
    <w:div w:id="2054882151">
      <w:bodyDiv w:val="1"/>
      <w:marLeft w:val="0"/>
      <w:marRight w:val="0"/>
      <w:marTop w:val="0"/>
      <w:marBottom w:val="0"/>
      <w:divBdr>
        <w:top w:val="none" w:sz="0" w:space="0" w:color="auto"/>
        <w:left w:val="none" w:sz="0" w:space="0" w:color="auto"/>
        <w:bottom w:val="none" w:sz="0" w:space="0" w:color="auto"/>
        <w:right w:val="none" w:sz="0" w:space="0" w:color="auto"/>
      </w:divBdr>
    </w:div>
    <w:div w:id="2080710004">
      <w:bodyDiv w:val="1"/>
      <w:marLeft w:val="0"/>
      <w:marRight w:val="0"/>
      <w:marTop w:val="0"/>
      <w:marBottom w:val="0"/>
      <w:divBdr>
        <w:top w:val="none" w:sz="0" w:space="0" w:color="auto"/>
        <w:left w:val="none" w:sz="0" w:space="0" w:color="auto"/>
        <w:bottom w:val="none" w:sz="0" w:space="0" w:color="auto"/>
        <w:right w:val="none" w:sz="0" w:space="0" w:color="auto"/>
      </w:divBdr>
    </w:div>
    <w:div w:id="2090808964">
      <w:bodyDiv w:val="1"/>
      <w:marLeft w:val="0"/>
      <w:marRight w:val="0"/>
      <w:marTop w:val="0"/>
      <w:marBottom w:val="0"/>
      <w:divBdr>
        <w:top w:val="none" w:sz="0" w:space="0" w:color="auto"/>
        <w:left w:val="none" w:sz="0" w:space="0" w:color="auto"/>
        <w:bottom w:val="none" w:sz="0" w:space="0" w:color="auto"/>
        <w:right w:val="none" w:sz="0" w:space="0" w:color="auto"/>
      </w:divBdr>
    </w:div>
    <w:div w:id="2102606047">
      <w:bodyDiv w:val="1"/>
      <w:marLeft w:val="0"/>
      <w:marRight w:val="0"/>
      <w:marTop w:val="0"/>
      <w:marBottom w:val="0"/>
      <w:divBdr>
        <w:top w:val="none" w:sz="0" w:space="0" w:color="auto"/>
        <w:left w:val="none" w:sz="0" w:space="0" w:color="auto"/>
        <w:bottom w:val="none" w:sz="0" w:space="0" w:color="auto"/>
        <w:right w:val="none" w:sz="0" w:space="0" w:color="auto"/>
      </w:divBdr>
    </w:div>
    <w:div w:id="2110345565">
      <w:bodyDiv w:val="1"/>
      <w:marLeft w:val="0"/>
      <w:marRight w:val="0"/>
      <w:marTop w:val="0"/>
      <w:marBottom w:val="0"/>
      <w:divBdr>
        <w:top w:val="none" w:sz="0" w:space="0" w:color="auto"/>
        <w:left w:val="none" w:sz="0" w:space="0" w:color="auto"/>
        <w:bottom w:val="none" w:sz="0" w:space="0" w:color="auto"/>
        <w:right w:val="none" w:sz="0" w:space="0" w:color="auto"/>
      </w:divBdr>
    </w:div>
    <w:div w:id="212017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nvest.bnpparibas.com/en/registration-documents-annual-financial-reports" TargetMode="External"/><Relationship Id="rId23" Type="http://schemas.openxmlformats.org/officeDocument/2006/relationships/hyperlink" Target="https://invest.bnpparibas.com/en/compensation-regulated-employees" TargetMode="External"/><Relationship Id="rId28" Type="http://schemas.openxmlformats.org/officeDocument/2006/relationships/header" Target="header1.xml"/><Relationship Id="rId10" Type="http://schemas.openxmlformats.org/officeDocument/2006/relationships/hyperlink" Target="https://invest.bnpparibas.com/en/compensation-regulated-employees" TargetMode="External"/><Relationship Id="rId19" Type="http://schemas.openxmlformats.org/officeDocument/2006/relationships/image" Target="media/image9.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vest.bnpparibas.com/en/registration-documents-annual-financial-reports" TargetMode="External"/><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package" Target="embeddings/Microsoft_Excel_Worksheet.xlsx"/><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foot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BNPP-PITCHBOOK">
      <a:dk1>
        <a:srgbClr val="000000"/>
      </a:dk1>
      <a:lt1>
        <a:srgbClr val="FFFFFF"/>
      </a:lt1>
      <a:dk2>
        <a:srgbClr val="939598"/>
      </a:dk2>
      <a:lt2>
        <a:srgbClr val="F0F0F0"/>
      </a:lt2>
      <a:accent1>
        <a:srgbClr val="00915A"/>
      </a:accent1>
      <a:accent2>
        <a:srgbClr val="82A44A"/>
      </a:accent2>
      <a:accent3>
        <a:srgbClr val="BFBFBF"/>
      </a:accent3>
      <a:accent4>
        <a:srgbClr val="D2DCAA"/>
      </a:accent4>
      <a:accent5>
        <a:srgbClr val="A0C873"/>
      </a:accent5>
      <a:accent6>
        <a:srgbClr val="E1F3E3"/>
      </a:accent6>
      <a:hlink>
        <a:srgbClr val="00915A"/>
      </a:hlink>
      <a:folHlink>
        <a:srgbClr val="00915A"/>
      </a:folHlink>
    </a:clrScheme>
    <a:fontScheme name="BNPP-INVITATION">
      <a:majorFont>
        <a:latin typeface="BNPP Sans"/>
        <a:ea typeface=""/>
        <a:cs typeface=""/>
      </a:majorFont>
      <a:minorFont>
        <a:latin typeface="BNPP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3976F-0F04-4044-BCD7-CC45CEC9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8624</TotalTime>
  <Pages>16</Pages>
  <Words>3732</Words>
  <Characters>21274</Characters>
  <Application>Microsoft Office Word</Application>
  <DocSecurity>0</DocSecurity>
  <Lines>177</Lines>
  <Paragraphs>49</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BNP PARIBAS’SUBMISSION FOR THE banker deals of the year 2015</vt:lpstr>
      <vt:lpstr>BNP PARIBAS’SUBMISSION FOR THE banker deals of the year 2015</vt:lpstr>
      <vt:lpstr>Heading 1 </vt:lpstr>
      <vt:lpstr>    1.1 Subheading </vt:lpstr>
      <vt:lpstr>        Sub-Sub heading </vt:lpstr>
      <vt:lpstr>    </vt:lpstr>
    </vt:vector>
  </TitlesOfParts>
  <Company>Microsoft</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BNP PARIBAS’SUBMISSION FOR THE banker deals of the year 2015</dc:title>
  <dc:creator>Nicolas ZRIHEN</dc:creator>
  <cp:keywords>Classification=Select Classification Level, Classification=Internal</cp:keywords>
  <cp:lastModifiedBy>Naseem Sahar</cp:lastModifiedBy>
  <cp:revision>88</cp:revision>
  <cp:lastPrinted>2018-06-06T08:59:00Z</cp:lastPrinted>
  <dcterms:created xsi:type="dcterms:W3CDTF">2018-07-10T09:31:00Z</dcterms:created>
  <dcterms:modified xsi:type="dcterms:W3CDTF">2022-05-24T09:06:00Z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Acrobat PDFMaker 15 pour PowerPoint</vt:lpwstr>
  </property>
  <property fmtid="{D5CDD505-2E9C-101B-9397-08002B2CF9AE}" pid="4" name="LastSaved">
    <vt:filetime>2015-12-21T00:00:00Z</vt:filetime>
  </property>
  <property fmtid="{D5CDD505-2E9C-101B-9397-08002B2CF9AE}" pid="5" name="TitusGUID">
    <vt:lpwstr>ffac84aa-22a8-4d0e-9fb2-b0ed13ee48cf</vt:lpwstr>
  </property>
  <property fmtid="{D5CDD505-2E9C-101B-9397-08002B2CF9AE}" pid="6" name="Classification">
    <vt:lpwstr>Internal</vt:lpwstr>
  </property>
  <property fmtid="{D5CDD505-2E9C-101B-9397-08002B2CF9AE}" pid="7" name="PIIGDPR">
    <vt:lpwstr>NotSpecified</vt:lpwstr>
  </property>
  <property fmtid="{D5CDD505-2E9C-101B-9397-08002B2CF9AE}" pid="8" name="ApplyVisualMarking">
    <vt:lpwstr>None</vt:lpwstr>
  </property>
  <property fmtid="{D5CDD505-2E9C-101B-9397-08002B2CF9AE}" pid="9" name="MSIP_Label_8ffbc0b8-e97b-47d1-beac-cb0955d66f3b_Enabled">
    <vt:lpwstr>true</vt:lpwstr>
  </property>
  <property fmtid="{D5CDD505-2E9C-101B-9397-08002B2CF9AE}" pid="10" name="MSIP_Label_8ffbc0b8-e97b-47d1-beac-cb0955d66f3b_SetDate">
    <vt:lpwstr>2022-04-26T11:49:48Z</vt:lpwstr>
  </property>
  <property fmtid="{D5CDD505-2E9C-101B-9397-08002B2CF9AE}" pid="11" name="MSIP_Label_8ffbc0b8-e97b-47d1-beac-cb0955d66f3b_Method">
    <vt:lpwstr>Standard</vt:lpwstr>
  </property>
  <property fmtid="{D5CDD505-2E9C-101B-9397-08002B2CF9AE}" pid="12" name="MSIP_Label_8ffbc0b8-e97b-47d1-beac-cb0955d66f3b_Name">
    <vt:lpwstr>8ffbc0b8-e97b-47d1-beac-cb0955d66f3b</vt:lpwstr>
  </property>
  <property fmtid="{D5CDD505-2E9C-101B-9397-08002B2CF9AE}" pid="13" name="MSIP_Label_8ffbc0b8-e97b-47d1-beac-cb0955d66f3b_SiteId">
    <vt:lpwstr>614f9c25-bffa-42c7-86d8-964101f55fa2</vt:lpwstr>
  </property>
  <property fmtid="{D5CDD505-2E9C-101B-9397-08002B2CF9AE}" pid="14" name="MSIP_Label_8ffbc0b8-e97b-47d1-beac-cb0955d66f3b_ActionId">
    <vt:lpwstr>ca53fd80-f870-477b-9db7-ce0768287109</vt:lpwstr>
  </property>
  <property fmtid="{D5CDD505-2E9C-101B-9397-08002B2CF9AE}" pid="15" name="MSIP_Label_8ffbc0b8-e97b-47d1-beac-cb0955d66f3b_ContentBits">
    <vt:lpwstr>0</vt:lpwstr>
  </property>
</Properties>
</file>